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Елисейкина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терминал. Перейти в каталог курса сформированный при выполнении лабораторной работы №2 . Обновить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  <w:pStyle w:val="Compact"/>
      </w:pPr>
      <w:r>
        <w:t xml:space="preserve">Перейти в каталог с шаблоном отчета по лабораторной работе №3.</w:t>
      </w:r>
    </w:p>
    <w:p>
      <w:pPr>
        <w:numPr>
          <w:ilvl w:val="0"/>
          <w:numId w:val="1001"/>
        </w:numPr>
        <w:pStyle w:val="Compact"/>
      </w:pPr>
      <w:r>
        <w:t xml:space="preserve">Провести компиляцию шаблона с использованием Makefile. Открыть и проверить успешность компиляции.</w:t>
      </w:r>
    </w:p>
    <w:p>
      <w:pPr>
        <w:numPr>
          <w:ilvl w:val="0"/>
          <w:numId w:val="1001"/>
        </w:numPr>
        <w:pStyle w:val="Compact"/>
      </w:pPr>
      <w:r>
        <w:t xml:space="preserve">Удалить полученные файлы с использованием Makefile. Проверить,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Открыть файл report.md c помощью текстового редактора gedit gedit report.md. Изучить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Заполнить отчет, скомпилировать его с использованием Makefile. Проверить корректность полученных файлов. Загрузить файлы на Github.</w:t>
      </w:r>
    </w:p>
    <w:p>
      <w:pPr>
        <w:pStyle w:val="FirstParagraph"/>
      </w:pPr>
      <w:r>
        <w:t xml:space="preserve">Задание для самостоятельной работы</w:t>
      </w:r>
      <w:r>
        <w:t xml:space="preserve"> </w:t>
      </w:r>
      <w:r>
        <w:t xml:space="preserve">1. В соответствующем каталоге сделать отчёт по лабораторной работе № 2 в формате Markdown. В качестве отчёта предоставить отчёты в 3 форматах: pdf, docx и md. Загрузить файлы на github.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 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 звездочки:</w:t>
      </w:r>
    </w:p>
    <w:p>
      <w:pPr>
        <w:pStyle w:val="BodyText"/>
      </w:pP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2"/>
        </w:numPr>
        <w:pStyle w:val="Compact"/>
      </w:pPr>
      <w:r>
        <w:t xml:space="preserve">First instruction</w:t>
      </w:r>
    </w:p>
    <w:p>
      <w:pPr>
        <w:numPr>
          <w:ilvl w:val="0"/>
          <w:numId w:val="1002"/>
        </w:numPr>
        <w:pStyle w:val="Compact"/>
      </w:pPr>
      <w:r>
        <w:t xml:space="preserve">Second instruction</w:t>
      </w:r>
    </w:p>
    <w:p>
      <w:pPr>
        <w:numPr>
          <w:ilvl w:val="0"/>
          <w:numId w:val="1002"/>
        </w:numPr>
        <w:pStyle w:val="Compact"/>
      </w:pPr>
      <w:r>
        <w:t xml:space="preserve">Third instruction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numPr>
          <w:ilvl w:val="0"/>
          <w:numId w:val="1003"/>
        </w:numPr>
      </w:pPr>
      <w:r>
        <w:t xml:space="preserve">List item 1</w:t>
      </w:r>
    </w:p>
    <w:p>
      <w:pPr>
        <w:numPr>
          <w:ilvl w:val="0"/>
          <w:numId w:val="1003"/>
        </w:numPr>
      </w:pPr>
      <w:r>
        <w:t xml:space="preserve">List item 2</w:t>
      </w:r>
    </w:p>
    <w:p>
      <w:pPr>
        <w:numPr>
          <w:ilvl w:val="0"/>
          <w:numId w:val="1003"/>
        </w:numPr>
      </w:pPr>
      <w:r>
        <w:t xml:space="preserve">List item 3</w:t>
      </w:r>
    </w:p>
    <w:p>
      <w:pPr>
        <w:pStyle w:val="FirstParagraph"/>
      </w:pPr>
      <w:r>
        <w:t xml:space="preserve">Чтобы вложить один список в другой, добавьте отступ для элементов дочернего списка:</w:t>
      </w:r>
    </w:p>
    <w:p>
      <w:pPr>
        <w:numPr>
          <w:ilvl w:val="0"/>
          <w:numId w:val="1004"/>
        </w:numPr>
      </w:pPr>
      <w:r>
        <w:t xml:space="preserve">List item 1</w:t>
      </w:r>
    </w:p>
    <w:p>
      <w:pPr>
        <w:numPr>
          <w:ilvl w:val="1"/>
          <w:numId w:val="1005"/>
        </w:numPr>
        <w:pStyle w:val="Compact"/>
      </w:pPr>
      <w:r>
        <w:t xml:space="preserve">List item A</w:t>
      </w:r>
    </w:p>
    <w:p>
      <w:pPr>
        <w:numPr>
          <w:ilvl w:val="1"/>
          <w:numId w:val="1005"/>
        </w:numPr>
        <w:pStyle w:val="Compact"/>
      </w:pPr>
      <w:r>
        <w:t xml:space="preserve">List item B</w:t>
      </w:r>
    </w:p>
    <w:p>
      <w:pPr>
        <w:numPr>
          <w:ilvl w:val="0"/>
          <w:numId w:val="1004"/>
        </w:numPr>
      </w:pPr>
      <w:r>
        <w:t xml:space="preserve">List item 2</w:t>
      </w:r>
    </w:p>
    <w:p>
      <w:pPr>
        <w:pStyle w:val="FirstParagraph"/>
      </w:pP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</w:p>
    <w:p>
      <w:pPr>
        <w:pStyle w:val="BodyText"/>
      </w:pPr>
      <w:hyperlink r:id="rId22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или</w:t>
      </w:r>
    </w:p>
    <w:p>
      <w:pPr>
        <w:pStyle w:val="BodyText"/>
      </w:pPr>
      <w:hyperlink r:id="rId23">
        <w:r>
          <w:rPr>
            <w:rStyle w:val="Hyperlink"/>
          </w:rPr>
          <w:t xml:space="preserve">link text</w:t>
        </w:r>
      </w:hyperlink>
    </w:p>
    <w:p>
      <w:pPr>
        <w:pStyle w:val="BodyText"/>
      </w:pPr>
      <w:r>
        <w:t xml:space="preserve">Оформление изображений в Markdown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 указания адреса изображения. Синтаксис данной команды выглядит следующим образом:</w:t>
      </w:r>
    </w:p>
    <w:p>
      <w:pPr>
        <w:pStyle w:val="BodyText"/>
      </w:pPr>
      <w:r>
        <w:t xml:space="preserve">[Подпись к рисунку] (/путь/к/изображению.jpg</w:t>
      </w:r>
      <w:r>
        <w:t xml:space="preserve"> </w:t>
      </w:r>
      <w:r>
        <w:t xml:space="preserve">“</w:t>
      </w:r>
      <w:r>
        <w:t xml:space="preserve">Необязательная подсказка</w:t>
      </w:r>
      <w:r>
        <w:t xml:space="preserve">”</w:t>
      </w:r>
      <w:r>
        <w:t xml:space="preserve">){#fig:fig1 width=70% }</w:t>
      </w:r>
    </w:p>
    <w:p>
      <w:pPr>
        <w:pStyle w:val="BodyText"/>
      </w:pPr>
      <w:r>
        <w:t xml:space="preserve">Здесь:</w:t>
      </w:r>
    </w:p>
    <w:p>
      <w:pPr>
        <w:pStyle w:val="BodyText"/>
      </w:pPr>
      <w:r>
        <w:t xml:space="preserve">в квадратных скобках указывается подпись к изображению;</w:t>
      </w:r>
    </w:p>
    <w:p>
      <w:pPr>
        <w:pStyle w:val="BodyText"/>
      </w:pPr>
      <w:r>
        <w:t xml:space="preserve">в круглых скобках указывается URL-адрес или относительный путь изображения, а так- же (необязательно) всплывающую подсказку, заключённую в двойные или одиночные кавычки;</w:t>
      </w:r>
    </w:p>
    <w:p>
      <w:pPr>
        <w:pStyle w:val="BodyText"/>
      </w:pPr>
      <w:r>
        <w:t xml:space="preserve">в фигурных скобках указывается идентификатор изображения (#fig:fig1) для ссылки на него по тексту и размер изображения относительно ширины страницы (width=90%).</w:t>
      </w:r>
    </w:p>
    <w:p>
      <w:pPr>
        <w:pStyle w:val="BodyText"/>
      </w:pPr>
      <w:r>
        <w:t xml:space="preserve">Обработка файлов в формате Markdown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p>
      <w:pPr>
        <w:pStyle w:val="BodyText"/>
      </w:pPr>
      <w:r>
        <w:t xml:space="preserve">или так</w:t>
      </w:r>
    </w:p>
    <w:p>
      <w:pPr>
        <w:pStyle w:val="BodyText"/>
      </w:pPr>
      <w:r>
        <w:t xml:space="preserve">pandoc README.md -o README.docx</w:t>
      </w:r>
    </w:p>
    <w:bookmarkEnd w:id="24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Перешли в каталог курса сформированный при выполнении лабораторной работы №2 . Обновили локальный репозиторий (рис. 4.1 Обновление локального репозитория).</w:t>
      </w:r>
    </w:p>
    <w:p>
      <w:pPr>
        <w:pStyle w:val="CaptionedFigure"/>
      </w:pPr>
      <w:r>
        <w:drawing>
          <wp:inline>
            <wp:extent cx="3733800" cy="3316426"/>
            <wp:effectExtent b="0" l="0" r="0" t="0"/>
            <wp:docPr descr="Обновление локального репозитория" title="fig:" id="26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1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numPr>
          <w:ilvl w:val="0"/>
          <w:numId w:val="1007"/>
        </w:numPr>
        <w:pStyle w:val="Compact"/>
      </w:pPr>
      <w:r>
        <w:t xml:space="preserve">Перешли в каталог отчета по лабораторной работе №3 (рис. 4.2 Каталог с шаблоном отчета по лабораторной работе №3).</w:t>
      </w:r>
    </w:p>
    <w:p>
      <w:pPr>
        <w:pStyle w:val="CaptionedFigure"/>
      </w:pPr>
      <w:r>
        <w:drawing>
          <wp:inline>
            <wp:extent cx="3733800" cy="3315795"/>
            <wp:effectExtent b="0" l="0" r="0" t="0"/>
            <wp:docPr descr="Каталог с шаблоном отчета по лабораторной работе №3" title="fig:" id="29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шаблоном отчета по лабораторной работе №3</w:t>
      </w:r>
    </w:p>
    <w:p>
      <w:pPr>
        <w:numPr>
          <w:ilvl w:val="0"/>
          <w:numId w:val="1008"/>
        </w:numPr>
        <w:pStyle w:val="Compact"/>
      </w:pPr>
      <w:r>
        <w:t xml:space="preserve">Провели компиляцию шаблона с использованием Makefile. Открыли и проверили успешность компиляции. Были сгенерированы файлы report.pdf и report.docx (рис. 4.3 Компиляция шаблона с использованием Makefile).</w:t>
      </w:r>
    </w:p>
    <w:p>
      <w:pPr>
        <w:pStyle w:val="CaptionedFigure"/>
      </w:pPr>
      <w:r>
        <w:drawing>
          <wp:inline>
            <wp:extent cx="3733800" cy="3298189"/>
            <wp:effectExtent b="0" l="0" r="0" t="0"/>
            <wp:docPr descr="Компиляция шаблона с использованием Makefile" title="fig:" id="32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numPr>
          <w:ilvl w:val="0"/>
          <w:numId w:val="1009"/>
        </w:numPr>
        <w:pStyle w:val="Compact"/>
      </w:pPr>
      <w:r>
        <w:t xml:space="preserve">Удалили полученные файлы с использованием Makefile. Проверили, что после этой команды файлы report.pdf и report.docx были удалены (рис. 4.4 Удаление файлов).</w:t>
      </w:r>
    </w:p>
    <w:p>
      <w:pPr>
        <w:pStyle w:val="CaptionedFigure"/>
      </w:pPr>
      <w:r>
        <w:drawing>
          <wp:inline>
            <wp:extent cx="3733800" cy="1126397"/>
            <wp:effectExtent b="0" l="0" r="0" t="0"/>
            <wp:docPr descr="Удаление файлов" title="fig:" id="35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numPr>
          <w:ilvl w:val="0"/>
          <w:numId w:val="1010"/>
        </w:numPr>
        <w:pStyle w:val="Compact"/>
      </w:pPr>
      <w:r>
        <w:t xml:space="preserve">Открыли файл report.md c помощью текстового редактора. Изучили структуру (рис. 4.5 Структура файла report.md).</w:t>
      </w:r>
    </w:p>
    <w:p>
      <w:pPr>
        <w:pStyle w:val="CaptionedFigure"/>
      </w:pPr>
      <w:r>
        <w:drawing>
          <wp:inline>
            <wp:extent cx="3733800" cy="2952898"/>
            <wp:effectExtent b="0" l="0" r="0" t="0"/>
            <wp:docPr descr="Структура файла report.md" title="fig:" id="38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файла report.md</w:t>
      </w:r>
    </w:p>
    <w:p>
      <w:pPr>
        <w:numPr>
          <w:ilvl w:val="0"/>
          <w:numId w:val="1011"/>
        </w:numPr>
        <w:pStyle w:val="Compact"/>
      </w:pPr>
      <w:r>
        <w:t xml:space="preserve">Заполнили отчет, скомпилировали его с использованием Makefile. Загрузили файлы на Github. (рис. 4.6 Загрузка файлов на Github).</w:t>
      </w:r>
    </w:p>
    <w:p>
      <w:pPr>
        <w:pStyle w:val="CaptionedFigure"/>
      </w:pPr>
      <w:r>
        <w:drawing>
          <wp:inline>
            <wp:extent cx="3733800" cy="3337790"/>
            <wp:effectExtent b="0" l="0" r="0" t="0"/>
            <wp:docPr descr="Загрузка файлов на Github" title="fig:" id="41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В соответствующем каталоге сделали отчёт по лабораторной работе № 2 в формате Markdown. В качестве отчёта предоставили отчёты в 3 форматах: pdf, docx и md (рис. 4.7 Отчёт по лабораторной работе № 2).</w:t>
      </w:r>
    </w:p>
    <w:p>
      <w:pPr>
        <w:pStyle w:val="CaptionedFigure"/>
      </w:pPr>
      <w:r>
        <w:drawing>
          <wp:inline>
            <wp:extent cx="3733800" cy="2715112"/>
            <wp:effectExtent b="0" l="0" r="0" t="0"/>
            <wp:docPr descr="Отчёт по лабораторной работе № 2" title="fig:" id="44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Отчёт по лабораторной работе № 2</w:t>
      </w:r>
    </w:p>
    <w:p>
      <w:pPr>
        <w:pStyle w:val="BodyText"/>
      </w:pPr>
      <w:r>
        <w:t xml:space="preserve">Загрузили файлы на github (рис. 4.8 Проверка файлов на github).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роверка файлов на github" title="fig:" id="47" name="Picture"/>
            <a:graphic>
              <a:graphicData uri="http://schemas.openxmlformats.org/drawingml/2006/picture">
                <pic:pic>
                  <pic:nvPicPr>
                    <pic:cNvPr descr="/home/migolovina/work/study/2024-2025/Архитектура%20компьютера/study_2024-2025_arh-pc/labs/lab11/report/image/4.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 на github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процедуры оформления отчетов с помощью легковесного языка разметки Markdown.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GDB: The GNU Project Debugger. — URL:https://www.gnu.org/software/gdb/.</w:t>
      </w:r>
    </w:p>
    <w:p>
      <w:pPr>
        <w:numPr>
          <w:ilvl w:val="0"/>
          <w:numId w:val="1012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12"/>
        </w:numPr>
        <w:pStyle w:val="Compact"/>
      </w:pPr>
      <w:r>
        <w:t xml:space="preserve">Midnight Commander Development Center. — 2021. — URL: https://midnight-commander. org/.</w:t>
      </w:r>
    </w:p>
    <w:p>
      <w:pPr>
        <w:numPr>
          <w:ilvl w:val="0"/>
          <w:numId w:val="1012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12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>
      <w:pPr>
        <w:numPr>
          <w:ilvl w:val="0"/>
          <w:numId w:val="1012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12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12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12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12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12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12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12"/>
        </w:numPr>
        <w:pStyle w:val="Compact"/>
      </w:pPr>
      <w: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>
      <w:pPr>
        <w:numPr>
          <w:ilvl w:val="0"/>
          <w:numId w:val="1012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12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12"/>
        </w:numPr>
        <w:pStyle w:val="Compact"/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Елисейкина Надежда Михайловна</dc:creator>
  <dc:language>ru-RU</dc:language>
  <cp:keywords/>
  <dcterms:created xsi:type="dcterms:W3CDTF">2024-10-09T19:27:45Z</dcterms:created>
  <dcterms:modified xsi:type="dcterms:W3CDTF">2024-10-09T19:27:45Z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разметки 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