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Елисейкина</w:t>
      </w:r>
      <w:r>
        <w:t xml:space="preserve"> </w:t>
      </w:r>
      <w:r>
        <w:t xml:space="preserve">Надежда</w:t>
      </w:r>
      <w:r>
        <w:t xml:space="preserve"> </w:t>
      </w:r>
      <w:r>
        <w:t xml:space="preserve">Михайловна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Сделать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предоставить отчёты в трёх форматах:pdf,docx и md.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Формирование report.md (рис. 3.1).</w:t>
      </w:r>
    </w:p>
    <w:p>
      <w:pPr>
        <w:pStyle w:val="CaptionedFigure"/>
      </w:pPr>
      <w:r>
        <w:drawing>
          <wp:inline>
            <wp:extent cx="3733800" cy="4475168"/>
            <wp:effectExtent b="0" l="0" r="0" t="0"/>
            <wp:docPr descr="report.md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751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report.md</w:t>
      </w:r>
    </w:p>
    <w:p>
      <w:pPr>
        <w:numPr>
          <w:ilvl w:val="0"/>
          <w:numId w:val="1003"/>
        </w:numPr>
        <w:pStyle w:val="Compact"/>
      </w:pPr>
      <w:r>
        <w:t xml:space="preserve">Запустили команду и получили report.docx и report.pdf. (рис. 3.2).</w:t>
      </w:r>
    </w:p>
    <w:p>
      <w:pPr>
        <w:pStyle w:val="CaptionedFigure"/>
      </w:pPr>
      <w:r>
        <w:drawing>
          <wp:inline>
            <wp:extent cx="3733800" cy="2659295"/>
            <wp:effectExtent b="0" l="0" r="0" t="0"/>
            <wp:docPr descr="report.docx и report.pdf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report.docx и report.pdf</w:t>
      </w:r>
    </w:p>
    <w:p>
      <w:pPr>
        <w:numPr>
          <w:ilvl w:val="0"/>
          <w:numId w:val="1004"/>
        </w:numPr>
        <w:pStyle w:val="Compact"/>
      </w:pPr>
      <w:r>
        <w:t xml:space="preserve">Формирование presentation.md. (рис. 3.3).</w:t>
      </w:r>
    </w:p>
    <w:p>
      <w:pPr>
        <w:pStyle w:val="CaptionedFigure"/>
      </w:pPr>
      <w:r>
        <w:drawing>
          <wp:inline>
            <wp:extent cx="3733800" cy="4283401"/>
            <wp:effectExtent b="0" l="0" r="0" t="0"/>
            <wp:docPr descr="presentation.md" title="fig:" id="29" name="Picture"/>
            <a:graphic>
              <a:graphicData uri="http://schemas.openxmlformats.org/drawingml/2006/picture">
                <pic:pic>
                  <pic:nvPicPr>
                    <pic:cNvPr descr="image/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83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presentation.md</w:t>
      </w:r>
    </w:p>
    <w:p>
      <w:pPr>
        <w:numPr>
          <w:ilvl w:val="0"/>
          <w:numId w:val="1005"/>
        </w:numPr>
        <w:pStyle w:val="Compact"/>
      </w:pPr>
      <w:r>
        <w:t xml:space="preserve">Запустили команду и получили presentation.html и presentation.pdf. (рис. 3.4).</w:t>
      </w:r>
    </w:p>
    <w:p>
      <w:pPr>
        <w:pStyle w:val="CaptionedFigure"/>
      </w:pPr>
      <w:r>
        <w:drawing>
          <wp:inline>
            <wp:extent cx="3733800" cy="2677064"/>
            <wp:effectExtent b="0" l="0" r="0" t="0"/>
            <wp:docPr descr="presentation.html и presentation.pdf" title="fig:" id="32" name="Picture"/>
            <a:graphic>
              <a:graphicData uri="http://schemas.openxmlformats.org/drawingml/2006/picture">
                <pic:pic>
                  <pic:nvPicPr>
                    <pic:cNvPr descr="image/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presentation.html и presentation.pdf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научилась оформлять отчёты с помощью легковесного языка разметки Markdown.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06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06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06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06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06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06"/>
        </w:numPr>
        <w:pStyle w:val="Compact"/>
      </w:pPr>
      <w:r>
        <w:t xml:space="preserve">Robbins, A. Bash Pocket Reference / A. Robbins. – O’Reilly Media, 2016. – 156 сс.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3</dc:title>
  <dc:creator>Елисейкина Надежда Михайловна</dc:creator>
  <dc:language>ru-RU</dc:language>
  <cp:keywords/>
  <dcterms:created xsi:type="dcterms:W3CDTF">2025-02-28T08:04:55Z</dcterms:created>
  <dcterms:modified xsi:type="dcterms:W3CDTF">2025-02-28T08:04:55Z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Markdown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