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309C8"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b/>
          <w:bCs/>
          <w:color w:val="374151"/>
          <w:kern w:val="0"/>
          <w:sz w:val="24"/>
          <w:szCs w:val="24"/>
          <w:bdr w:val="single" w:sz="2" w:space="0" w:color="D9D9E3" w:frame="1"/>
          <w14:ligatures w14:val="none"/>
        </w:rPr>
        <w:br/>
        <w:t>Industry</w:t>
      </w:r>
      <w:r w:rsidRPr="00126B55">
        <w:rPr>
          <w:rFonts w:ascii="Segoe UI" w:eastAsia="Times New Roman" w:hAnsi="Segoe UI" w:cs="Segoe UI"/>
          <w:color w:val="374151"/>
          <w:kern w:val="0"/>
          <w:sz w:val="24"/>
          <w:szCs w:val="24"/>
          <w14:ligatures w14:val="none"/>
        </w:rPr>
        <w:t>: Aerospace</w:t>
      </w:r>
    </w:p>
    <w:p w14:paraId="336B256F" w14:textId="77777777" w:rsidR="00126B55" w:rsidRPr="00126B55" w:rsidRDefault="00126B55" w:rsidP="00126B55">
      <w:pPr>
        <w:spacing w:before="720" w:after="720" w:line="240" w:lineRule="auto"/>
        <w:rPr>
          <w:rFonts w:ascii="Times New Roman" w:eastAsia="Times New Roman" w:hAnsi="Times New Roman" w:cs="Times New Roman"/>
          <w:kern w:val="0"/>
          <w:sz w:val="24"/>
          <w:szCs w:val="24"/>
          <w14:ligatures w14:val="none"/>
        </w:rPr>
      </w:pPr>
      <w:r w:rsidRPr="00126B55">
        <w:rPr>
          <w:rFonts w:ascii="Times New Roman" w:eastAsia="Times New Roman" w:hAnsi="Times New Roman" w:cs="Times New Roman"/>
          <w:kern w:val="0"/>
          <w:sz w:val="24"/>
          <w:szCs w:val="24"/>
          <w14:ligatures w14:val="none"/>
        </w:rPr>
        <w:pict w14:anchorId="1F749208">
          <v:rect id="_x0000_i1025" style="width:0;height:0" o:hralign="center" o:hrstd="t" o:hrnoshade="t" o:hr="t" fillcolor="#374151" stroked="f"/>
        </w:pict>
      </w:r>
    </w:p>
    <w:p w14:paraId="3087DCC1"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b/>
          <w:bCs/>
          <w:color w:val="374151"/>
          <w:kern w:val="0"/>
          <w:sz w:val="24"/>
          <w:szCs w:val="24"/>
          <w:bdr w:val="single" w:sz="2" w:space="0" w:color="D9D9E3" w:frame="1"/>
          <w14:ligatures w14:val="none"/>
        </w:rPr>
        <w:t>Title</w:t>
      </w:r>
      <w:r w:rsidRPr="00126B55">
        <w:rPr>
          <w:rFonts w:ascii="Segoe UI" w:eastAsia="Times New Roman" w:hAnsi="Segoe UI" w:cs="Segoe UI"/>
          <w:color w:val="374151"/>
          <w:kern w:val="0"/>
          <w:sz w:val="24"/>
          <w:szCs w:val="24"/>
          <w14:ligatures w14:val="none"/>
        </w:rPr>
        <w:t>: Pioneering Aerospace Engineering and Compliance</w:t>
      </w:r>
    </w:p>
    <w:p w14:paraId="672CB240"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b/>
          <w:bCs/>
          <w:color w:val="374151"/>
          <w:kern w:val="0"/>
          <w:sz w:val="24"/>
          <w:szCs w:val="24"/>
          <w:bdr w:val="single" w:sz="2" w:space="0" w:color="D9D9E3" w:frame="1"/>
          <w14:ligatures w14:val="none"/>
        </w:rPr>
        <w:t>Catchy Phrase</w:t>
      </w:r>
      <w:r w:rsidRPr="00126B55">
        <w:rPr>
          <w:rFonts w:ascii="Segoe UI" w:eastAsia="Times New Roman" w:hAnsi="Segoe UI" w:cs="Segoe UI"/>
          <w:color w:val="374151"/>
          <w:kern w:val="0"/>
          <w:sz w:val="24"/>
          <w:szCs w:val="24"/>
          <w14:ligatures w14:val="none"/>
        </w:rPr>
        <w:t>: Navigating the skies with safety and precision.</w:t>
      </w:r>
    </w:p>
    <w:p w14:paraId="38BF2ECC"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b/>
          <w:bCs/>
          <w:color w:val="374151"/>
          <w:kern w:val="0"/>
          <w:sz w:val="24"/>
          <w:szCs w:val="24"/>
          <w:bdr w:val="single" w:sz="2" w:space="0" w:color="D9D9E3" w:frame="1"/>
          <w14:ligatures w14:val="none"/>
        </w:rPr>
        <w:t>Short Blurb</w:t>
      </w:r>
      <w:r w:rsidRPr="00126B55">
        <w:rPr>
          <w:rFonts w:ascii="Segoe UI" w:eastAsia="Times New Roman" w:hAnsi="Segoe UI" w:cs="Segoe UI"/>
          <w:color w:val="374151"/>
          <w:kern w:val="0"/>
          <w:sz w:val="24"/>
          <w:szCs w:val="24"/>
          <w14:ligatures w14:val="none"/>
        </w:rPr>
        <w:t>: Marcus Engineering excels in designing life and safety critical systems for both civil and military flight applications. We're committed to ensuring your aerospace products meet regulatory standards and achieve successful deployment.</w:t>
      </w:r>
    </w:p>
    <w:p w14:paraId="19731104"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b/>
          <w:bCs/>
          <w:color w:val="374151"/>
          <w:kern w:val="0"/>
          <w:sz w:val="24"/>
          <w:szCs w:val="24"/>
          <w:bdr w:val="single" w:sz="2" w:space="0" w:color="D9D9E3" w:frame="1"/>
          <w14:ligatures w14:val="none"/>
        </w:rPr>
        <w:t>Bullet Points/Keywords</w:t>
      </w:r>
      <w:r w:rsidRPr="00126B55">
        <w:rPr>
          <w:rFonts w:ascii="Segoe UI" w:eastAsia="Times New Roman" w:hAnsi="Segoe UI" w:cs="Segoe UI"/>
          <w:color w:val="374151"/>
          <w:kern w:val="0"/>
          <w:sz w:val="24"/>
          <w:szCs w:val="24"/>
          <w14:ligatures w14:val="none"/>
        </w:rPr>
        <w:t>:</w:t>
      </w:r>
    </w:p>
    <w:p w14:paraId="6E60962D"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Life and Safety Critical Systems</w:t>
      </w:r>
    </w:p>
    <w:p w14:paraId="0A6E2061"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Technical Standard Orders (TSOs)</w:t>
      </w:r>
    </w:p>
    <w:p w14:paraId="3DDCEF99"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Development/Design Assurance Levels (DAL A to D)</w:t>
      </w:r>
    </w:p>
    <w:p w14:paraId="5FE08990"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 xml:space="preserve">ARP4754A and DO-178C </w:t>
      </w:r>
      <w:proofErr w:type="gramStart"/>
      <w:r w:rsidRPr="00126B55">
        <w:rPr>
          <w:rFonts w:ascii="Segoe UI" w:eastAsia="Times New Roman" w:hAnsi="Segoe UI" w:cs="Segoe UI"/>
          <w:color w:val="374151"/>
          <w:kern w:val="0"/>
          <w:sz w:val="24"/>
          <w:szCs w:val="24"/>
          <w14:ligatures w14:val="none"/>
        </w:rPr>
        <w:t>Adherence</w:t>
      </w:r>
      <w:proofErr w:type="gramEnd"/>
    </w:p>
    <w:p w14:paraId="440A3001"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FAA AC and EASA AMCs Guidance</w:t>
      </w:r>
    </w:p>
    <w:p w14:paraId="55E07645"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Military vs Civil Requirements</w:t>
      </w:r>
    </w:p>
    <w:p w14:paraId="1F262217" w14:textId="77777777" w:rsidR="00126B55" w:rsidRPr="00126B55" w:rsidRDefault="00126B55" w:rsidP="00126B55">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Risk Reduction Engineering (R2E™)</w:t>
      </w:r>
    </w:p>
    <w:p w14:paraId="14F68AD9"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b/>
          <w:bCs/>
          <w:color w:val="374151"/>
          <w:kern w:val="0"/>
          <w:sz w:val="24"/>
          <w:szCs w:val="24"/>
          <w:bdr w:val="single" w:sz="2" w:space="0" w:color="D9D9E3" w:frame="1"/>
          <w14:ligatures w14:val="none"/>
        </w:rPr>
        <w:t>Long Form</w:t>
      </w:r>
      <w:r w:rsidRPr="00126B55">
        <w:rPr>
          <w:rFonts w:ascii="Segoe UI" w:eastAsia="Times New Roman" w:hAnsi="Segoe UI" w:cs="Segoe UI"/>
          <w:color w:val="374151"/>
          <w:kern w:val="0"/>
          <w:sz w:val="24"/>
          <w:szCs w:val="24"/>
          <w14:ligatures w14:val="none"/>
        </w:rPr>
        <w:t>:</w:t>
      </w:r>
    </w:p>
    <w:p w14:paraId="51396D0A"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Marcus Engineering's heritage in the aerospace industry is founded on in-depth experience with both civil and military flight applications, encompassing both traditional and unmanned aircraft systems. Collaborating closely with our clients, we delve deep into understanding the nuances of your product, ensuring it aligns with relevant Technical Standard Orders (TSOs), and rigorously preparing a validation and certification package that stands up to scrutiny.</w:t>
      </w:r>
    </w:p>
    <w:p w14:paraId="2318FA0B"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Whether you're aiming to develop an aircraft subsystem that aligns with a manufacturer's standards or need to secure a Technical Standard Order (TSO) Authorization, we stand ready to assist. Recognizing the wide range of possible failure outcomes, from minor to catastrophic, we offer comprehensive guidance through design and certification processes, catering to systems across the spectrum from DAL A through to DAL D.</w:t>
      </w:r>
    </w:p>
    <w:p w14:paraId="103D3092"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proofErr w:type="gramStart"/>
      <w:r w:rsidRPr="00126B55">
        <w:rPr>
          <w:rFonts w:ascii="Segoe UI" w:eastAsia="Times New Roman" w:hAnsi="Segoe UI" w:cs="Segoe UI"/>
          <w:color w:val="374151"/>
          <w:kern w:val="0"/>
          <w:sz w:val="24"/>
          <w:szCs w:val="24"/>
          <w14:ligatures w14:val="none"/>
        </w:rPr>
        <w:lastRenderedPageBreak/>
        <w:t>Developing for</w:t>
      </w:r>
      <w:proofErr w:type="gramEnd"/>
      <w:r w:rsidRPr="00126B55">
        <w:rPr>
          <w:rFonts w:ascii="Segoe UI" w:eastAsia="Times New Roman" w:hAnsi="Segoe UI" w:cs="Segoe UI"/>
          <w:color w:val="374151"/>
          <w:kern w:val="0"/>
          <w:sz w:val="24"/>
          <w:szCs w:val="24"/>
          <w14:ligatures w14:val="none"/>
        </w:rPr>
        <w:t xml:space="preserve"> the aerospace sector demands a keen understanding of a multitude of standards and requirements. We are adept at navigating industry norms such as ARP4754A (Guidelines for Development of Civil Aircraft and Systems) and DO-178C (Software Considerations in Airborne Systems and Equipment Certification), as well as their guidance and application documentation. These include FAA AC (Advisory Circular) 20-174's Development of Civil Aircraft and Systems, and FAA AC 20-115C's Airborne Software Assurance. Notably, our approach also considers the image of the ARP4754A process waterfall chart.</w:t>
      </w:r>
    </w:p>
    <w:p w14:paraId="167D09D6"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In the aerospace realm, controlling documents often mirror military versions of civil requirements. Examples include the RTCA DO-160 vis-à-vis MIL-STD-810 and MIL-STD-704. These controlling documents might also take the form of TSO standards from the FAA or ETSOs from EASA, underscoring the minimum performance standards for specific materials and parts utilized in civil aircraft.</w:t>
      </w:r>
    </w:p>
    <w:p w14:paraId="55EF2471"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 xml:space="preserve">Employing our trademark R2E™ (Risk Reduction Engineering™) Design Controls, along with our sophisticated </w:t>
      </w:r>
      <w:hyperlink r:id="rId5" w:tgtFrame="_new" w:history="1">
        <w:r w:rsidRPr="00126B55">
          <w:rPr>
            <w:rFonts w:ascii="Segoe UI" w:eastAsia="Times New Roman" w:hAnsi="Segoe UI" w:cs="Segoe UI"/>
            <w:color w:val="0000FF"/>
            <w:kern w:val="0"/>
            <w:sz w:val="24"/>
            <w:szCs w:val="24"/>
            <w:u w:val="single"/>
            <w:bdr w:val="single" w:sz="2" w:space="0" w:color="D9D9E3" w:frame="1"/>
            <w14:ligatures w14:val="none"/>
          </w:rPr>
          <w:t>Hardware</w:t>
        </w:r>
      </w:hyperlink>
      <w:r w:rsidRPr="00126B55">
        <w:rPr>
          <w:rFonts w:ascii="Segoe UI" w:eastAsia="Times New Roman" w:hAnsi="Segoe UI" w:cs="Segoe UI"/>
          <w:color w:val="374151"/>
          <w:kern w:val="0"/>
          <w:sz w:val="24"/>
          <w:szCs w:val="24"/>
          <w14:ligatures w14:val="none"/>
        </w:rPr>
        <w:t xml:space="preserve"> and </w:t>
      </w:r>
      <w:hyperlink r:id="rId6" w:tgtFrame="_new" w:history="1">
        <w:r w:rsidRPr="00126B55">
          <w:rPr>
            <w:rFonts w:ascii="Segoe UI" w:eastAsia="Times New Roman" w:hAnsi="Segoe UI" w:cs="Segoe UI"/>
            <w:color w:val="0000FF"/>
            <w:kern w:val="0"/>
            <w:sz w:val="24"/>
            <w:szCs w:val="24"/>
            <w:u w:val="single"/>
            <w:bdr w:val="single" w:sz="2" w:space="0" w:color="D9D9E3" w:frame="1"/>
            <w14:ligatures w14:val="none"/>
          </w:rPr>
          <w:t>Software</w:t>
        </w:r>
      </w:hyperlink>
      <w:r w:rsidRPr="00126B55">
        <w:rPr>
          <w:rFonts w:ascii="Segoe UI" w:eastAsia="Times New Roman" w:hAnsi="Segoe UI" w:cs="Segoe UI"/>
          <w:color w:val="374151"/>
          <w:kern w:val="0"/>
          <w:sz w:val="24"/>
          <w:szCs w:val="24"/>
          <w14:ligatures w14:val="none"/>
        </w:rPr>
        <w:t xml:space="preserve"> development processes, we ensure products meet functional, performance, and customer requirements. However, compliance isn't the sole focus. It's paramount to maintain documented traceability throughout the development lifecycle — from initial requirements, navigating hazards, through to specifications, implementation, verification, and validation.</w:t>
      </w:r>
    </w:p>
    <w:p w14:paraId="5255EAC0"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Our expertise extends to an extensive list of regulatory guidelines:</w:t>
      </w:r>
    </w:p>
    <w:p w14:paraId="451BB093" w14:textId="77777777" w:rsidR="00126B55" w:rsidRPr="00126B55" w:rsidRDefault="00126B55" w:rsidP="00126B55">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SAE ARP4754A, ARP4761</w:t>
      </w:r>
    </w:p>
    <w:p w14:paraId="5251D5A9" w14:textId="77777777" w:rsidR="00126B55" w:rsidRPr="00126B55" w:rsidRDefault="00126B55" w:rsidP="00126B55">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RTCA DO-178C, DO-297, DO-254, DO-</w:t>
      </w:r>
      <w:proofErr w:type="gramStart"/>
      <w:r w:rsidRPr="00126B55">
        <w:rPr>
          <w:rFonts w:ascii="Segoe UI" w:eastAsia="Times New Roman" w:hAnsi="Segoe UI" w:cs="Segoe UI"/>
          <w:color w:val="374151"/>
          <w:kern w:val="0"/>
          <w:sz w:val="24"/>
          <w:szCs w:val="24"/>
          <w14:ligatures w14:val="none"/>
        </w:rPr>
        <w:t>160G</w:t>
      </w:r>
      <w:proofErr w:type="gramEnd"/>
    </w:p>
    <w:p w14:paraId="287EA191" w14:textId="77777777" w:rsidR="00126B55" w:rsidRPr="00126B55" w:rsidRDefault="00126B55" w:rsidP="00126B55">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MIL-STD-810H, MIL-STD-704F, MIL-STD-461G, MIL-STD-464D ... among others. Additionally, we're well-versed in the plethora of FAA ACs and EASA AMCs offering guidance and interpretation for the above standards in civil aircraft.</w:t>
      </w:r>
    </w:p>
    <w:p w14:paraId="1D09041B"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 xml:space="preserve">Core to our strategy, the R2E™ approach focuses on early risk minimization, crystal-clear processes, and addressing design challenges promptly. This approach enhances our delivery timelines, ensures clear client communication, and boosts overall customer satisfaction. Dive deeper into the workings of our R2E™ Risk Reduction Engineering™ </w:t>
      </w:r>
      <w:hyperlink r:id="rId7" w:tgtFrame="_new" w:history="1">
        <w:r w:rsidRPr="00126B55">
          <w:rPr>
            <w:rFonts w:ascii="Segoe UI" w:eastAsia="Times New Roman" w:hAnsi="Segoe UI" w:cs="Segoe UI"/>
            <w:color w:val="0000FF"/>
            <w:kern w:val="0"/>
            <w:sz w:val="24"/>
            <w:szCs w:val="24"/>
            <w:u w:val="single"/>
            <w:bdr w:val="single" w:sz="2" w:space="0" w:color="D9D9E3" w:frame="1"/>
            <w14:ligatures w14:val="none"/>
          </w:rPr>
          <w:t>HERE</w:t>
        </w:r>
      </w:hyperlink>
      <w:r w:rsidRPr="00126B55">
        <w:rPr>
          <w:rFonts w:ascii="Segoe UI" w:eastAsia="Times New Roman" w:hAnsi="Segoe UI" w:cs="Segoe UI"/>
          <w:color w:val="374151"/>
          <w:kern w:val="0"/>
          <w:sz w:val="24"/>
          <w:szCs w:val="24"/>
          <w14:ligatures w14:val="none"/>
        </w:rPr>
        <w:t>.</w:t>
      </w:r>
    </w:p>
    <w:p w14:paraId="7DEF3DC5" w14:textId="77777777" w:rsidR="00126B55" w:rsidRPr="00126B55" w:rsidRDefault="00126B55" w:rsidP="00126B55">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14:ligatures w14:val="none"/>
        </w:rPr>
      </w:pPr>
      <w:r w:rsidRPr="00126B55">
        <w:rPr>
          <w:rFonts w:ascii="Segoe UI" w:eastAsia="Times New Roman" w:hAnsi="Segoe UI" w:cs="Segoe UI"/>
          <w:color w:val="374151"/>
          <w:kern w:val="0"/>
          <w:sz w:val="24"/>
          <w:szCs w:val="24"/>
          <w14:ligatures w14:val="none"/>
        </w:rPr>
        <w:t>With Marcus Engineering by your side, chart a course through the complex skies of aerospace engineering and compliance.</w:t>
      </w:r>
    </w:p>
    <w:p w14:paraId="4395DC14"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B81141"/>
    <w:multiLevelType w:val="multilevel"/>
    <w:tmpl w:val="1EC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FD554B"/>
    <w:multiLevelType w:val="multilevel"/>
    <w:tmpl w:val="EB4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9175545">
    <w:abstractNumId w:val="1"/>
  </w:num>
  <w:num w:numId="2" w16cid:durableId="718671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37F"/>
    <w:rsid w:val="00126B55"/>
    <w:rsid w:val="0028237F"/>
    <w:rsid w:val="008A4543"/>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CB5A80-7336-493E-9924-8A5D06D0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6B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26B55"/>
    <w:rPr>
      <w:b/>
      <w:bCs/>
    </w:rPr>
  </w:style>
  <w:style w:type="character" w:styleId="Hyperlink">
    <w:name w:val="Hyperlink"/>
    <w:basedOn w:val="DefaultParagraphFont"/>
    <w:uiPriority w:val="99"/>
    <w:semiHidden/>
    <w:unhideWhenUsed/>
    <w:rsid w:val="00126B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33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openai.com/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openai.com/link" TargetMode="External"/><Relationship Id="rId5" Type="http://schemas.openxmlformats.org/officeDocument/2006/relationships/hyperlink" Target="https://chat.openai.com/lin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2023-08-21T18:57:00Z</dcterms:created>
  <dcterms:modified xsi:type="dcterms:W3CDTF">2023-08-21T18:57:00Z</dcterms:modified>
</cp:coreProperties>
</file>