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117D20A2" w14:textId="77777777" w:rsidR="004C3648" w:rsidRPr="00C864D1" w:rsidRDefault="004C3648" w:rsidP="004C3648">
      <w:pPr>
        <w:pStyle w:val="Heading3"/>
      </w:pPr>
      <w:r w:rsidRPr="00C864D1">
        <w:t>TCAMPO Organization and Structure</w:t>
      </w:r>
    </w:p>
    <w:p w14:paraId="08599323" w14:textId="77777777" w:rsidR="004C3648" w:rsidRPr="002C3124" w:rsidRDefault="004C3648" w:rsidP="004C3648">
      <w:pPr>
        <w:rPr>
          <w:rFonts w:asciiTheme="minorHAnsi" w:hAnsiTheme="minorHAnsi"/>
        </w:rPr>
      </w:pPr>
      <w:r w:rsidRPr="002C3124">
        <w:rPr>
          <w:rFonts w:asciiTheme="minorHAnsi" w:hAnsiTheme="minorHAnsi"/>
        </w:rPr>
        <w:t xml:space="preserve">TCAMPO consists of a Policy Committee and a Technical Advisory Committee (TAC), each playing a distinct role in the regional planning process. The Policy Committee serves as the primary decision-making body and is responsible for adopting all federally required planning products. Voting members include elected representatives from each of the member jurisdictions, appointed representatives from the Office of the Virginia Secretary of Transportation, the Crater Planning </w:t>
      </w:r>
      <w:r w:rsidRPr="002C3124">
        <w:rPr>
          <w:rFonts w:asciiTheme="minorHAnsi" w:hAnsiTheme="minorHAnsi"/>
        </w:rPr>
        <w:lastRenderedPageBreak/>
        <w:t>District Commission (CPDC), and Petersburg Area Transit (PAT). Representatives from the Federal Transit Administration (FTA), the Federal Highway Administration (FHWA), and DRPT participate as nonvoting members.</w:t>
      </w:r>
    </w:p>
    <w:p w14:paraId="6F6E669A" w14:textId="77777777" w:rsidR="004C3648" w:rsidRPr="002C3124" w:rsidRDefault="004C3648" w:rsidP="004C3648">
      <w:pPr>
        <w:rPr>
          <w:rFonts w:asciiTheme="minorHAnsi" w:hAnsiTheme="minorHAnsi"/>
        </w:rPr>
      </w:pPr>
      <w:r w:rsidRPr="002C3124">
        <w:rPr>
          <w:rFonts w:asciiTheme="minorHAnsi" w:hAnsiTheme="minorHAnsi"/>
        </w:rPr>
        <w:t>The TAC is composed of staff representatives from the member jurisdictions, Secretary of Transportation, PAT, and Crater PDC. It provides technical support and serves in an advisory capacity to the Policy Committee. Representatives from Fort Lee, RideFinders, and the National Park Service at Petersburg National Battlefield participate as advisory, nonvoting members given their importance to transportation in the Tri-Cities region.</w:t>
      </w:r>
    </w:p>
    <w:p w14:paraId="79630752" w14:textId="77777777" w:rsidR="004C3648" w:rsidRPr="002C3124" w:rsidRDefault="004C3648" w:rsidP="004C3648">
      <w:pPr>
        <w:rPr>
          <w:rFonts w:asciiTheme="minorHAnsi" w:hAnsiTheme="minorHAnsi"/>
        </w:rPr>
      </w:pPr>
      <w:r w:rsidRPr="002C3124">
        <w:rPr>
          <w:rFonts w:asciiTheme="minorHAnsi" w:hAnsiTheme="minorHAnsi"/>
        </w:rPr>
        <w:t>Regional and state transportation and air quality planning agencies have executed Memoranda of Agreement pursuant to 23 CFR 450.310, defining the roles and responsibilities of each participating agency. During the long-range planning process, TCAMPO and Richmond Regional Transportation Planning Organization (RRTPO) develop an accompanying Conformity Report to comply with metropolitan transportation and air quality planning requirements.</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