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671CCBD9" w14:textId="77777777" w:rsidR="004C3648" w:rsidRDefault="004C3648" w:rsidP="004C3648">
      <w:pPr>
        <w:pStyle w:val="Heading3"/>
      </w:pPr>
      <w:r w:rsidRPr="00C864D1">
        <w:t>Purpose of the Plan</w:t>
      </w:r>
    </w:p>
    <w:p w14:paraId="56C535CC" w14:textId="77777777" w:rsidR="004C3648" w:rsidRPr="002C3124" w:rsidRDefault="004C3648" w:rsidP="004C3648">
      <w:pPr>
        <w:rPr>
          <w:rFonts w:asciiTheme="minorHAnsi" w:hAnsiTheme="minorHAnsi"/>
        </w:rPr>
      </w:pPr>
      <w:r w:rsidRPr="002C3124">
        <w:rPr>
          <w:rFonts w:asciiTheme="minorHAnsi" w:hAnsiTheme="minorHAnsi"/>
        </w:rPr>
        <w:t>Plan2050 is TCAMPO's Long Range Transportation Plan (LRTP). Also known as a Metropolitan Transportation Plan (MTP), Plan2050 is a federally required document that establishes the vision, goals, and multimodal investment priorities for the Tri-Cities region’s transportation system. As TCAMPO's core long-range planning document, Plan2050 creates a strategic framework for decision-making across the region, guiding investments that improve mobility, safety, equity, and economic development over the next 20 years. Plan2050 provides the basis from which shorter-range programming documents, such as the Metropolitan Transportation Improvement Program (MTIP), will be developed. Consistent with federal requirements, projects must be in the MPO’s current approved LRTP to be eligible for federal transportation funding. Federal regulations also require that the LRTP address a planning horizon of at least 20 years and is fiscally constrained. This means that Plan2050 includes only projects and programs for which a reasonable funding source can be identified. Plan2050 ensures that investments in its transportation network are coordinated, strategic, and aligned with the goals of the communities it serves.</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