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66ADB783" w14:textId="77777777" w:rsidR="004C3648" w:rsidRPr="00C864D1" w:rsidRDefault="004C3648" w:rsidP="004C3648">
      <w:pPr>
        <w:pStyle w:val="Heading3"/>
      </w:pPr>
      <w:r w:rsidRPr="00C864D1">
        <w:t>Role of TCAMPO</w:t>
      </w:r>
    </w:p>
    <w:p w14:paraId="316605B7" w14:textId="77777777" w:rsidR="004C3648" w:rsidRPr="002C3124" w:rsidRDefault="004C3648" w:rsidP="004C3648">
      <w:pPr>
        <w:rPr>
          <w:rFonts w:asciiTheme="minorHAnsi" w:hAnsiTheme="minorHAnsi"/>
        </w:rPr>
      </w:pPr>
      <w:r w:rsidRPr="002C3124">
        <w:rPr>
          <w:rFonts w:asciiTheme="minorHAnsi" w:hAnsiTheme="minorHAnsi"/>
        </w:rPr>
        <w:t>TCAMPO is responsible for carrying out the federally mandated continuing, comprehensive, and cooperative (3C) planning process on behalf of the region's member jurisdictions. In this role, TCAMPO coordinates regional transportation planning, prioritizes investments, and ensures that federal transportation funds are directed toward projects that reflect the needs and priorities of the Tri-Cities region. In addition to the LRTP, TCAMPO develops and maintains the following federally required planning products:</w:t>
      </w:r>
    </w:p>
    <w:p w14:paraId="31F61140"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Unified Planning Work Program (UPWP) –  updated annually</w:t>
      </w:r>
    </w:p>
    <w:p w14:paraId="4800A0F0"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Metropolitan Transportation Plan (MTP) – updated every four years</w:t>
      </w:r>
    </w:p>
    <w:p w14:paraId="5B2AE51D"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Metropolitan Transportation Improvement Program (MTIP) – updated every four years</w:t>
      </w:r>
    </w:p>
    <w:p w14:paraId="17A45FC8"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Congestion Management Process (CMP) maintained on an ongoing basis</w:t>
      </w:r>
    </w:p>
    <w:p w14:paraId="17FB31C2" w14:textId="77777777" w:rsidR="004C3648" w:rsidRPr="002C3124" w:rsidRDefault="004C3648" w:rsidP="004C3648">
      <w:pPr>
        <w:rPr>
          <w:rFonts w:asciiTheme="minorHAnsi" w:hAnsiTheme="minorHAnsi"/>
        </w:rPr>
      </w:pPr>
      <w:r w:rsidRPr="002C3124">
        <w:rPr>
          <w:rFonts w:asciiTheme="minorHAnsi" w:hAnsiTheme="minorHAnsi"/>
        </w:rPr>
        <w:t xml:space="preserve">TCAMPO also maintains a Public Participation Plan and Title VI Compliance Plan in accordance with federal public involvement and civil rights requirements (23 CFR 450.316; 49 U.S.C. 5332). Together, these planning products establish the region's transportation priorities, which in turn guide TCAMPO's role in selecting and recommending projects for federal funding, including the Surface Transportation Block Grant (STBG), Congestion Mitigation and Air Quality (CMAQ), and </w:t>
      </w:r>
      <w:r w:rsidRPr="002C3124">
        <w:rPr>
          <w:rFonts w:asciiTheme="minorHAnsi" w:hAnsiTheme="minorHAnsi"/>
        </w:rPr>
        <w:lastRenderedPageBreak/>
        <w:t>Transportation Alternatives Program (TAP). Beyond federal allocations, TCAMPO also evaluates and recommends projects through Virginia's SMART SCALE prioritization process and provides technical assistance to its member jurisdictions in developing competitive applications.</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