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9CE8" w14:textId="77777777" w:rsidR="004C3648" w:rsidRPr="00C864D1" w:rsidRDefault="004C3648" w:rsidP="004C3648">
      <w:pPr>
        <w:pStyle w:val="Heading2"/>
      </w:pPr>
      <w:r w:rsidRPr="00C864D1">
        <w:t>Chapter 1: Introduction</w:t>
      </w:r>
      <w:r w:rsidRPr="00C864D1">
        <w:tab/>
      </w:r>
    </w:p>
    <w:p w14:paraId="1AB09880" w14:textId="77777777" w:rsidR="004C3648" w:rsidRPr="00C864D1" w:rsidRDefault="004C3648" w:rsidP="004C3648">
      <w:pPr>
        <w:pStyle w:val="Heading3"/>
      </w:pPr>
      <w:r w:rsidRPr="00C864D1">
        <w:t>Federal</w:t>
      </w:r>
      <w:r w:rsidRPr="00C864D1">
        <w:rPr>
          <w:spacing w:val="-20"/>
        </w:rPr>
        <w:t xml:space="preserve"> </w:t>
      </w:r>
      <w:r w:rsidRPr="00C864D1">
        <w:t>Regional</w:t>
      </w:r>
      <w:r w:rsidRPr="00C864D1">
        <w:rPr>
          <w:spacing w:val="-28"/>
        </w:rPr>
        <w:t xml:space="preserve"> </w:t>
      </w:r>
      <w:r w:rsidRPr="00C864D1">
        <w:t>Transportation</w:t>
      </w:r>
      <w:r w:rsidRPr="00C864D1">
        <w:rPr>
          <w:spacing w:val="-19"/>
        </w:rPr>
        <w:t xml:space="preserve"> </w:t>
      </w:r>
      <w:r w:rsidRPr="00C864D1">
        <w:t>Planning</w:t>
      </w:r>
      <w:r w:rsidRPr="00C864D1">
        <w:rPr>
          <w:spacing w:val="-19"/>
        </w:rPr>
        <w:t xml:space="preserve"> </w:t>
      </w:r>
      <w:r w:rsidRPr="00C864D1">
        <w:rPr>
          <w:spacing w:val="-2"/>
        </w:rPr>
        <w:t>Requirements</w:t>
      </w:r>
      <w:r w:rsidRPr="00C864D1">
        <w:tab/>
      </w:r>
    </w:p>
    <w:p w14:paraId="03D722BF" w14:textId="77777777" w:rsidR="004C3648" w:rsidRPr="002C3124" w:rsidRDefault="004C3648" w:rsidP="004C3648">
      <w:pPr>
        <w:rPr>
          <w:rFonts w:asciiTheme="minorHAnsi" w:hAnsiTheme="minorHAnsi"/>
        </w:rPr>
      </w:pPr>
      <w:r w:rsidRPr="002C3124">
        <w:rPr>
          <w:rFonts w:asciiTheme="minorHAnsi" w:hAnsiTheme="minorHAnsi"/>
        </w:rPr>
        <w:t>Federal law requires that transportation plans in urbanized areas with a population of 50,000 or more be developed through the 3C planning process (23 U.S.C. 134; 49 U.S.C. 5303). MPOs must develop and maintain a Long-Range Transportation Plan and a Transportation Improvement Program, each updated every four years. MPOs serving urbanized areas with a population of 200,000 or more, designated as Transportation Management Areas (TMAs), are also required to maintain a Congestion Management Process (23 CFR 450.322).</w:t>
      </w:r>
    </w:p>
    <w:p w14:paraId="6F5CAE5C" w14:textId="77777777" w:rsidR="004C3648" w:rsidRPr="002C3124" w:rsidRDefault="004C3648" w:rsidP="004C3648">
      <w:pPr>
        <w:rPr>
          <w:rFonts w:asciiTheme="minorHAnsi" w:hAnsiTheme="minorHAnsi"/>
          <w:b/>
        </w:rPr>
      </w:pPr>
      <w:r w:rsidRPr="002C3124">
        <w:rPr>
          <w:rFonts w:asciiTheme="minorHAnsi" w:hAnsiTheme="minorHAnsi"/>
        </w:rPr>
        <w:t>Federal planning requirements also emphasize performance-driven, outcome based planning, first introduced under MAP-21 in 2012 and continued under the FAST Act and the Infrastructure Investment and Jobs Act (IIJA). This framework requires MPOs and states to establish measurable targets tied to national performance goals covering safety, infrastructure condition, system reliability, and freight movement (23 U.S.C. 150; 23 CFR 490), ensuring federal investments advance national transportation priorities.</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