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7749397B" w14:textId="77777777" w:rsidR="004C3648" w:rsidRPr="00C864D1" w:rsidRDefault="004C3648" w:rsidP="004C3648">
      <w:pPr>
        <w:pStyle w:val="Heading3"/>
      </w:pPr>
      <w:r w:rsidRPr="00C864D1">
        <w:t>Plan</w:t>
      </w:r>
      <w:r>
        <w:t>2050</w:t>
      </w:r>
      <w:r w:rsidRPr="00C864D1">
        <w:t xml:space="preserve"> Goals, Objectives, Performance Measures </w:t>
      </w:r>
    </w:p>
    <w:p w14:paraId="4F2F114E" w14:textId="77777777" w:rsidR="004C3648" w:rsidRPr="002C3124" w:rsidRDefault="004C3648" w:rsidP="004C3648">
      <w:pPr>
        <w:rPr>
          <w:rFonts w:asciiTheme="minorHAnsi" w:hAnsiTheme="minorHAnsi"/>
        </w:rPr>
      </w:pPr>
      <w:r w:rsidRPr="002C3124">
        <w:rPr>
          <w:rFonts w:asciiTheme="minorHAnsi" w:hAnsiTheme="minorHAnsi"/>
        </w:rPr>
        <w:t>The goals and objectives for Plan2050 build on the framework established for the region’s previously adopted LRTP, Plan2045, and were affirmed through the MPO’s Multimodal Mobility Plan in 2025.  Rather than beginning from scratch, TCAMPO used the multimodal planning process as an opportunity to validate that the existing goals remained relevant to the region's evolving conditions, community priorities, and federal performance requirements. Guided by the previous public survey developed for the region’s previous LRTP (Plan2045) and subsequent planning efforts, TCAMPO adopted the following goals and objectives:</w:t>
      </w:r>
    </w:p>
    <w:p w14:paraId="5BB7AD48" w14:textId="77777777" w:rsidR="004C3648" w:rsidRPr="002C3124" w:rsidRDefault="004C3648" w:rsidP="004C3648">
      <w:pPr>
        <w:pStyle w:val="BodyText"/>
        <w:numPr>
          <w:ilvl w:val="0"/>
          <w:numId w:val="26"/>
        </w:numPr>
        <w:rPr>
          <w:rFonts w:asciiTheme="minorHAnsi" w:hAnsiTheme="minorHAnsi"/>
          <w:b/>
          <w:bCs/>
        </w:rPr>
      </w:pPr>
      <w:r w:rsidRPr="002C3124">
        <w:rPr>
          <w:rFonts w:asciiTheme="minorHAnsi" w:hAnsiTheme="minorHAnsi"/>
          <w:b/>
          <w:bCs/>
        </w:rPr>
        <w:t xml:space="preserve">Safety: </w:t>
      </w:r>
    </w:p>
    <w:p w14:paraId="307F9C17" w14:textId="77777777" w:rsidR="004C3648" w:rsidRPr="002C3124" w:rsidRDefault="004C3648" w:rsidP="004C3648">
      <w:pPr>
        <w:pStyle w:val="BodyText"/>
        <w:rPr>
          <w:rFonts w:asciiTheme="minorHAnsi" w:hAnsiTheme="minorHAnsi"/>
          <w:b/>
          <w:bCs/>
          <w:i/>
          <w:iCs/>
        </w:rPr>
      </w:pPr>
      <w:r w:rsidRPr="002C3124">
        <w:rPr>
          <w:rFonts w:asciiTheme="minorHAnsi" w:hAnsiTheme="minorHAnsi"/>
          <w:i/>
          <w:iCs/>
        </w:rPr>
        <w:t>Improve the safety of the transportation system for all people.</w:t>
      </w:r>
    </w:p>
    <w:p w14:paraId="2A93FEA4" w14:textId="77777777" w:rsidR="004C3648" w:rsidRPr="002C3124" w:rsidRDefault="004C3648" w:rsidP="004C3648">
      <w:pPr>
        <w:pStyle w:val="BodyText"/>
        <w:numPr>
          <w:ilvl w:val="1"/>
          <w:numId w:val="26"/>
        </w:numPr>
        <w:rPr>
          <w:rFonts w:asciiTheme="minorHAnsi" w:hAnsiTheme="minorHAnsi"/>
          <w:u w:val="single"/>
        </w:rPr>
      </w:pPr>
      <w:r w:rsidRPr="002C3124">
        <w:rPr>
          <w:rFonts w:asciiTheme="minorHAnsi" w:hAnsiTheme="minorHAnsi"/>
        </w:rPr>
        <w:t>Enhance safety and comfort of bicycle and pedestrian facilities</w:t>
      </w:r>
    </w:p>
    <w:p w14:paraId="0A9C9CB8" w14:textId="77777777" w:rsidR="004C3648" w:rsidRPr="002C3124" w:rsidRDefault="004C3648" w:rsidP="004C3648">
      <w:pPr>
        <w:pStyle w:val="BodyText"/>
        <w:numPr>
          <w:ilvl w:val="1"/>
          <w:numId w:val="26"/>
        </w:numPr>
        <w:rPr>
          <w:rFonts w:asciiTheme="minorHAnsi" w:hAnsiTheme="minorHAnsi"/>
          <w:u w:val="single"/>
        </w:rPr>
      </w:pPr>
      <w:r w:rsidRPr="002C3124">
        <w:rPr>
          <w:rFonts w:asciiTheme="minorHAnsi" w:hAnsiTheme="minorHAnsi"/>
        </w:rPr>
        <w:t>Work to eliminate all serious injuries and fatalities resulting from crashes</w:t>
      </w:r>
    </w:p>
    <w:p w14:paraId="3534E8BB" w14:textId="77777777" w:rsidR="004C3648" w:rsidRPr="002C3124" w:rsidRDefault="004C3648" w:rsidP="004C3648">
      <w:pPr>
        <w:pStyle w:val="BodyText"/>
        <w:numPr>
          <w:ilvl w:val="0"/>
          <w:numId w:val="26"/>
        </w:numPr>
        <w:rPr>
          <w:rFonts w:asciiTheme="minorHAnsi" w:hAnsiTheme="minorHAnsi"/>
        </w:rPr>
      </w:pPr>
      <w:r w:rsidRPr="002C3124">
        <w:rPr>
          <w:rFonts w:asciiTheme="minorHAnsi" w:hAnsiTheme="minorHAnsi"/>
          <w:b/>
          <w:bCs/>
        </w:rPr>
        <w:t xml:space="preserve">Environment/Land Use: </w:t>
      </w:r>
    </w:p>
    <w:p w14:paraId="49D11604"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t>Reduce the negative impact the transportation system has on the natural and built environment.</w:t>
      </w:r>
    </w:p>
    <w:p w14:paraId="75466740"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Address roadways prone to flooding and consider climate impacts in transportation planning prioritization and funding decisions.</w:t>
      </w:r>
    </w:p>
    <w:p w14:paraId="28F3ED40"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transportation related pollutants.</w:t>
      </w:r>
    </w:p>
    <w:p w14:paraId="30E1726A"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number and share of trips taken by shared and active transportation modes.</w:t>
      </w:r>
    </w:p>
    <w:p w14:paraId="53EF0EE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Assist and support localities as they perform land use planning regarding transportation investments that encourage walkable and transit-oriented communities.</w:t>
      </w:r>
    </w:p>
    <w:p w14:paraId="151B3E7C"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Minimize impacts of transportation system on natural resources and communities with a particular emphasis on Environmental Justice (EJ) populations</w:t>
      </w:r>
    </w:p>
    <w:p w14:paraId="5138E5F9"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 xml:space="preserve">Equity/Accessibility: </w:t>
      </w:r>
    </w:p>
    <w:p w14:paraId="0EDB73E0"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t>Improve equitable access through greater availability of mode choices that are affordable and efficient</w:t>
      </w:r>
    </w:p>
    <w:p w14:paraId="13F919DE"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trip lengths for all people with a focus on Environmental Justice (EJ) populations.</w:t>
      </w:r>
    </w:p>
    <w:p w14:paraId="566203AF"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access to jobs and community services via transit, walking, and biking for all people with a focus on EJ populations</w:t>
      </w:r>
    </w:p>
    <w:p w14:paraId="09342698"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Economic Development:</w:t>
      </w:r>
    </w:p>
    <w:p w14:paraId="30B95CC7"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lastRenderedPageBreak/>
        <w:t>Improve connectivity and mobility for strong economic vitality</w:t>
      </w:r>
    </w:p>
    <w:p w14:paraId="522903AD"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peak period travel times.</w:t>
      </w:r>
    </w:p>
    <w:p w14:paraId="0A7EE55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transportation investment which focuses on economic vitality.</w:t>
      </w:r>
    </w:p>
    <w:p w14:paraId="4130AD6B"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Improve reliability and accessibility of travel to and within the regional activity centers.</w:t>
      </w:r>
    </w:p>
    <w:p w14:paraId="0379BCEA"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freight bottlenecks.</w:t>
      </w:r>
    </w:p>
    <w:p w14:paraId="705104B8"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multimodal access to tourist destinations.</w:t>
      </w:r>
    </w:p>
    <w:p w14:paraId="6F2EEB05"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Mobility:</w:t>
      </w:r>
    </w:p>
    <w:p w14:paraId="75FB1979" w14:textId="77777777" w:rsidR="004C3648" w:rsidRPr="002C3124" w:rsidRDefault="004C3648" w:rsidP="004C3648">
      <w:pPr>
        <w:rPr>
          <w:rFonts w:asciiTheme="minorHAnsi" w:hAnsiTheme="minorHAnsi"/>
        </w:rPr>
      </w:pPr>
      <w:r w:rsidRPr="002C3124">
        <w:rPr>
          <w:rFonts w:asciiTheme="minorHAnsi" w:hAnsiTheme="minorHAnsi"/>
          <w:i/>
          <w:iCs/>
        </w:rPr>
        <w:t>Increase travel efficiency and mode choices by maintaining the transportation system in a state of good repair</w:t>
      </w:r>
    </w:p>
    <w:p w14:paraId="3D0D1E22"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the percent of complete streets across the highway network to maximize use of available capacity.</w:t>
      </w:r>
    </w:p>
    <w:p w14:paraId="3B49DCD6"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system efficiency through operational, transportation demand management (TDM), and technology-based solutions.</w:t>
      </w:r>
    </w:p>
    <w:p w14:paraId="1BA9D97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Improve system reliability across all modes.</w:t>
      </w:r>
    </w:p>
    <w:p w14:paraId="5E081D91" w14:textId="77777777" w:rsidR="004C3648" w:rsidRPr="002C3124" w:rsidRDefault="004C3648" w:rsidP="004C3648">
      <w:pPr>
        <w:rPr>
          <w:rFonts w:asciiTheme="minorHAnsi" w:hAnsiTheme="minorHAnsi"/>
        </w:rPr>
      </w:pPr>
      <w:r w:rsidRPr="002C3124">
        <w:rPr>
          <w:rFonts w:asciiTheme="minorHAnsi" w:hAnsiTheme="minorHAnsi"/>
        </w:rPr>
        <w:t xml:space="preserve">Each goal in Plan2050 is supported by objectives that define what the region is working toward, including reducing highway congestion, improving system reliability, expanding equitable access to transit, and reducing fatalities and serious injuries. As shown in </w:t>
      </w:r>
      <w:r w:rsidRPr="002C3124">
        <w:rPr>
          <w:rFonts w:asciiTheme="minorHAnsi" w:hAnsiTheme="minorHAnsi"/>
        </w:rPr>
        <w:fldChar w:fldCharType="begin"/>
      </w:r>
      <w:r w:rsidRPr="002C3124">
        <w:rPr>
          <w:rFonts w:asciiTheme="minorHAnsi" w:hAnsiTheme="minorHAnsi"/>
        </w:rPr>
        <w:instrText xml:space="preserve"> REF _Ref237950562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w:t>
      </w:r>
      <w:r w:rsidRPr="002C3124">
        <w:rPr>
          <w:rFonts w:asciiTheme="minorHAnsi" w:hAnsiTheme="minorHAnsi"/>
        </w:rPr>
        <w:fldChar w:fldCharType="end"/>
      </w:r>
      <w:r w:rsidRPr="002C3124">
        <w:rPr>
          <w:rFonts w:asciiTheme="minorHAnsi" w:hAnsiTheme="minorHAnsi"/>
        </w:rPr>
        <w:t>, Plan2050 performance measures such as Travel Time Index (TTI), Peak Hours of Excessive Delay (PHED), percent of person-miles traveled on the Interstate/non-Interstate provide a quantitative basis for evaluating plan outcomes in alignment with federal requirements under 23 CFR 490.</w:t>
      </w:r>
    </w:p>
    <w:p w14:paraId="78632920" w14:textId="77777777" w:rsidR="004C3648" w:rsidRPr="00BA1F82" w:rsidRDefault="004C3648" w:rsidP="004C3648">
      <w:pPr>
        <w:pStyle w:val="Caption"/>
      </w:pPr>
      <w:bookmarkStart w:id="1" w:name="_Ref237950562"/>
      <w:r w:rsidRPr="003C4140">
        <w:lastRenderedPageBreak/>
        <w:t xml:space="preserve">Figure </w:t>
      </w:r>
      <w:fldSimple w:instr=" SEQ Figure \* ARABIC ">
        <w:r>
          <w:rPr>
            <w:noProof/>
          </w:rPr>
          <w:t>2</w:t>
        </w:r>
      </w:fldSimple>
      <w:bookmarkEnd w:id="1"/>
      <w:r w:rsidRPr="003C4140">
        <w:t>.</w:t>
      </w:r>
      <w:r w:rsidRPr="00BA1F82">
        <w:t xml:space="preserve"> </w:t>
      </w:r>
      <w:r>
        <w:t xml:space="preserve">Plan2050 Congestion Management Plan </w:t>
      </w:r>
      <w:r w:rsidRPr="00BA1F82">
        <w:t>Performance Measures</w:t>
      </w:r>
    </w:p>
    <w:p w14:paraId="0F2DAE95" w14:textId="77777777" w:rsidR="004C3648" w:rsidRPr="00C864D1" w:rsidRDefault="004C3648" w:rsidP="004C3648">
      <w:r w:rsidRPr="00C864D1">
        <w:rPr>
          <w:noProof/>
          <w14:ligatures w14:val="standardContextual"/>
        </w:rPr>
        <w:drawing>
          <wp:inline distT="0" distB="0" distL="0" distR="0" wp14:anchorId="4A7DB1E1" wp14:editId="531DE52C">
            <wp:extent cx="5943600" cy="4313208"/>
            <wp:effectExtent l="38100" t="38100" r="19050" b="0"/>
            <wp:docPr id="1616781161" name="Diagram 2"/>
            <wp:cNvGraphicFramePr/>
            <a:graphic xmlns:a="http://schemas.openxmlformats.org/drawingml/2006/main">
              <a:graphicData uri="http://schemas.openxmlformats.org/drawingml/2006/diagram">
                <dgm:relIds xmlns:dgm="http://schemas.openxmlformats.org/drawingml/2006/diagram" r:dm="rId8" r:lo="rId9" r:qs="rId10" r:cs="rId11"/>
              </a:graphicData>
            </a:graphic>
          </wp:inline>
        </w:drawing>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