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9CE8" w14:textId="77777777" w:rsidR="004C3648" w:rsidRPr="00C864D1" w:rsidRDefault="004C3648" w:rsidP="004C3648">
      <w:pPr>
        <w:pStyle w:val="Heading2"/>
      </w:pPr>
      <w:r w:rsidRPr="00C864D1">
        <w:t>Chapter 1: Introduction</w:t>
      </w:r>
      <w:r w:rsidRPr="00C864D1">
        <w:tab/>
      </w:r>
    </w:p>
    <w:p w14:paraId="668F4AA4" w14:textId="77777777" w:rsidR="004C3648" w:rsidRPr="00C864D1" w:rsidRDefault="004C3648" w:rsidP="004C3648">
      <w:pPr>
        <w:pStyle w:val="Heading3"/>
      </w:pPr>
      <w:r w:rsidRPr="00C864D1">
        <w:t>Planning Process</w:t>
      </w:r>
    </w:p>
    <w:p w14:paraId="222F5E7B" w14:textId="77777777" w:rsidR="004C3648" w:rsidRPr="002C3124" w:rsidRDefault="004C3648" w:rsidP="004C3648">
      <w:pPr>
        <w:rPr>
          <w:rFonts w:asciiTheme="minorHAnsi" w:hAnsiTheme="minorHAnsi"/>
        </w:rPr>
      </w:pPr>
      <w:r w:rsidRPr="002C3124">
        <w:rPr>
          <w:rFonts w:asciiTheme="minorHAnsi" w:hAnsiTheme="minorHAnsi"/>
        </w:rPr>
        <w:t xml:space="preserve">The development of Plan2050 followed a process designed to meet federal requirements while remaining grounded on the region’s priorities. The process followed multiple phases including data collection and existing conditions assessment, community and stakeholder engagement, scenario development and evaluation, project prioritization, and fiscal constraint analysis. </w:t>
      </w:r>
    </w:p>
    <w:p w14:paraId="0E48538D" w14:textId="77777777" w:rsidR="004C3648" w:rsidRPr="00C864D1" w:rsidRDefault="004C3648" w:rsidP="004C3648">
      <w:pPr>
        <w:pStyle w:val="Heading4"/>
      </w:pPr>
      <w:r w:rsidRPr="00C864D1">
        <w:t>Data Collection and Conditions Assessment</w:t>
      </w:r>
    </w:p>
    <w:p w14:paraId="07BA0AEA" w14:textId="77777777" w:rsidR="004C3648" w:rsidRPr="002C3124" w:rsidRDefault="004C3648" w:rsidP="004C3648">
      <w:pPr>
        <w:rPr>
          <w:rFonts w:asciiTheme="minorHAnsi" w:hAnsiTheme="minorHAnsi"/>
        </w:rPr>
      </w:pPr>
      <w:r w:rsidRPr="002C3124">
        <w:rPr>
          <w:rFonts w:asciiTheme="minorHAnsi" w:hAnsiTheme="minorHAnsi"/>
        </w:rPr>
        <w:t>TCAMPO began the planning process by establishing a comprehensive understanding of national and regional trends and forecasts (see Chapter 2: National and Regional Trends and Forecasts). This was followed by an assessment of existing transportation conditions across the region, including an inventory of roadway network performance, bridge and pavement conditions, transit service coverage and ridership patterns, bicycle and pedestrian infrastructure, interregional travel, and freight movement corridors (see Chapter 3: Our Transportation System Today). Travel demand modeling, drawing on current and projected demographic and land use data from member jurisdictions and the Crater Planning District Commission, was used to forecast future conditions under a no-build scenario. This baseline served as the foundation against which future investment scenarios were evaluated.</w:t>
      </w:r>
    </w:p>
    <w:p w14:paraId="07415973" w14:textId="77777777" w:rsidR="004C3648" w:rsidRPr="00C864D1" w:rsidRDefault="004C3648" w:rsidP="004C3648">
      <w:pPr>
        <w:pStyle w:val="Heading4"/>
      </w:pPr>
      <w:r w:rsidRPr="00C864D1">
        <w:t>Community and Stakeholder Engagement</w:t>
      </w:r>
    </w:p>
    <w:p w14:paraId="71114B38" w14:textId="77777777" w:rsidR="004C3648" w:rsidRPr="002C3124" w:rsidRDefault="004C3648" w:rsidP="004C3648">
      <w:pPr>
        <w:rPr>
          <w:rFonts w:asciiTheme="minorHAnsi" w:hAnsiTheme="minorHAnsi"/>
        </w:rPr>
      </w:pPr>
      <w:commentRangeStart w:id="2"/>
      <w:r w:rsidRPr="002C3124">
        <w:rPr>
          <w:rFonts w:asciiTheme="minorHAnsi" w:hAnsiTheme="minorHAnsi"/>
        </w:rPr>
        <w:t xml:space="preserve">Public and stakeholder engagement was conducted during the planning process in accordance </w:t>
      </w:r>
      <w:r w:rsidRPr="002C3124">
        <w:rPr>
          <w:rFonts w:asciiTheme="minorHAnsi" w:hAnsiTheme="minorHAnsi"/>
        </w:rPr>
        <w:lastRenderedPageBreak/>
        <w:t>with TCAMPO's Public Participation Plan and Title VI requirements. Outreach efforts were designed to reach a broad cross-section of the region's residents, including populations that are traditionally underserved or underrepresented in transportation planning processes. Engagement activities included public meetings, online surveys, and coordination with local jurisdiction staff. Input gathered through these efforts informed the development of plan goals, the identification of transportation needs, and the evaluation of investment priorities.</w:t>
      </w:r>
      <w:commentRangeEnd w:id="2"/>
      <w:r w:rsidRPr="002C3124">
        <w:rPr>
          <w:rStyle w:val="CommentReference"/>
          <w:rFonts w:asciiTheme="minorHAnsi" w:hAnsiTheme="minorHAnsi"/>
          <w:sz w:val="22"/>
          <w:szCs w:val="22"/>
        </w:rPr>
        <w:commentReference w:id="2"/>
      </w:r>
    </w:p>
    <w:p w14:paraId="3F7F9742" w14:textId="77777777" w:rsidR="004C3648" w:rsidRPr="00C864D1" w:rsidRDefault="004C3648" w:rsidP="004C3648">
      <w:pPr>
        <w:pStyle w:val="Heading4"/>
      </w:pPr>
      <w:r w:rsidRPr="00C864D1">
        <w:t>Scenario Development and Evaluation</w:t>
      </w:r>
    </w:p>
    <w:p w14:paraId="1CDA98D1" w14:textId="77777777" w:rsidR="004C3648" w:rsidRPr="00656AF0" w:rsidRDefault="004C3648" w:rsidP="004C3648">
      <w:pPr>
        <w:rPr>
          <w:i/>
          <w:iCs/>
        </w:rPr>
      </w:pPr>
      <w:r w:rsidRPr="00656AF0">
        <w:rPr>
          <w:i/>
          <w:iCs/>
          <w:highlight w:val="yellow"/>
        </w:rPr>
        <w:t>TBD</w:t>
      </w:r>
    </w:p>
    <w:p w14:paraId="09255B9A" w14:textId="77777777" w:rsidR="004C3648" w:rsidRPr="00C864D1" w:rsidRDefault="004C3648" w:rsidP="004C3648">
      <w:pPr>
        <w:pStyle w:val="Heading4"/>
      </w:pPr>
      <w:r w:rsidRPr="00C864D1">
        <w:t>Project Identification and Prioritization</w:t>
      </w:r>
    </w:p>
    <w:p w14:paraId="7937D5F8" w14:textId="77777777" w:rsidR="004C3648" w:rsidRPr="002C3124" w:rsidRDefault="004C3648" w:rsidP="004C3648">
      <w:pPr>
        <w:rPr>
          <w:rFonts w:asciiTheme="minorHAnsi" w:hAnsiTheme="minorHAnsi"/>
        </w:rPr>
      </w:pPr>
      <w:r w:rsidRPr="002C3124">
        <w:rPr>
          <w:rFonts w:asciiTheme="minorHAnsi" w:hAnsiTheme="minorHAnsi"/>
        </w:rPr>
        <w:t>Transportation needs and candidate projects were identified through a combination of local jurisdiction input, travel demand modeling outputs, and asset management data. Projects were evaluated using factors related to safety, mobility and congestion, accessibility and equity, environment, and economic development. This evaluation informed how projects were ranked and advanced for potential inclusion in the financially constrained plan.</w:t>
      </w:r>
    </w:p>
    <w:p w14:paraId="6E187FAE" w14:textId="77777777" w:rsidR="004C3648" w:rsidRPr="00C864D1" w:rsidRDefault="004C3648" w:rsidP="004C3648">
      <w:pPr>
        <w:pStyle w:val="Heading4"/>
      </w:pPr>
      <w:r w:rsidRPr="00C864D1">
        <w:t>Fiscal Constraint</w:t>
      </w:r>
    </w:p>
    <w:p w14:paraId="3CE72854" w14:textId="77777777" w:rsidR="004C3648" w:rsidRPr="002C3124" w:rsidRDefault="004C3648" w:rsidP="004C3648">
      <w:pPr>
        <w:rPr>
          <w:rFonts w:asciiTheme="minorHAnsi" w:hAnsiTheme="minorHAnsi"/>
        </w:rPr>
      </w:pPr>
      <w:r w:rsidRPr="002C3124">
        <w:rPr>
          <w:rFonts w:asciiTheme="minorHAnsi" w:hAnsiTheme="minorHAnsi"/>
        </w:rPr>
        <w:t>Federal regulations require that the LRTP be fiscally constrained, meaning the total cost of projects and programs included in the Plan must not exceed the funding reasonably expected to be available over the planning horizon. TCAMPO developed revenue projections based on historical federal, state, and regional funding allocations, anticipated formula program apportionments, and guidance from VDOT, DRPT, and the Central Virginia Transportation Authority (CVTA) on projected funding levels. Projects were organized into funding tiers reflecting the degree of certainty associated with available revenues, ensuring that the Plan presents a realistic and implementable program of investments rather than an unconstrained wish list.</w:t>
      </w:r>
    </w:p>
    <w:p w14:paraId="0B02EA92" w14:textId="77777777" w:rsidR="004C3648" w:rsidRPr="00C864D1" w:rsidRDefault="004C3648" w:rsidP="004C3648">
      <w:pPr>
        <w:pStyle w:val="Heading4"/>
      </w:pPr>
      <w:r w:rsidRPr="00C864D1">
        <w:t>Interagency and Regional Coordination</w:t>
      </w:r>
    </w:p>
    <w:p w14:paraId="09EDA488" w14:textId="77777777" w:rsidR="004C3648" w:rsidRPr="002C3124" w:rsidRDefault="004C3648" w:rsidP="004C3648">
      <w:pPr>
        <w:rPr>
          <w:rFonts w:asciiTheme="minorHAnsi" w:hAnsiTheme="minorHAnsi"/>
        </w:rPr>
      </w:pPr>
      <w:r w:rsidRPr="002C3124">
        <w:rPr>
          <w:rFonts w:asciiTheme="minorHAnsi" w:hAnsiTheme="minorHAnsi"/>
        </w:rPr>
        <w:t>Throughout the planning process, TCAMPO coordinated with VDOT, DRPT, PAT, and RRTPO. This coordination ensured consistency with statewide transportation plans and investment programs, addressed cross-boundary travel needs, and fulfilled the consultation procedures established under the Memoranda of Agreement executed pursuant to 23 CFR 450.310. Fort Gregg-Adams, RideFinders, and the National Park Service at Petersburg National Battlefield also contributed perspectives relevant to their roles in the regional transportation system.</w:t>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