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FC95" w14:textId="4CAE683B" w:rsidR="004C3648" w:rsidRPr="00C864D1" w:rsidRDefault="004C3648" w:rsidP="004C3648">
      <w:pPr>
        <w:pStyle w:val="Heading2"/>
      </w:pPr>
      <w:r w:rsidRPr="00C864D1">
        <w:lastRenderedPageBreak/>
        <w:t>Chapter 2: National and Regional Trends and Forecasts</w:t>
      </w:r>
      <w:r w:rsidRPr="00C864D1">
        <w:tab/>
      </w:r>
    </w:p>
    <w:p w14:paraId="3E725398" w14:textId="77777777" w:rsidR="004C3648" w:rsidRPr="00C864D1" w:rsidRDefault="004C3648" w:rsidP="004C3648">
      <w:pPr>
        <w:pStyle w:val="Heading4"/>
      </w:pPr>
      <w:commentRangeStart w:id="28"/>
      <w:r>
        <w:t xml:space="preserve">Socioeconomic </w:t>
      </w:r>
      <w:r w:rsidRPr="00C864D1">
        <w:t>Forecasts</w:t>
      </w:r>
      <w:commentRangeEnd w:id="28"/>
      <w:r w:rsidRPr="00C864D1">
        <w:rPr>
          <w:rStyle w:val="CommentReference"/>
          <w:sz w:val="22"/>
          <w:szCs w:val="22"/>
        </w:rPr>
        <w:commentReference w:id="28"/>
      </w:r>
    </w:p>
    <w:p w14:paraId="42FDB6F9" w14:textId="77777777" w:rsidR="004C3648" w:rsidRPr="002C3124" w:rsidRDefault="004C3648" w:rsidP="004C3648">
      <w:pPr>
        <w:rPr>
          <w:rFonts w:asciiTheme="minorHAnsi" w:hAnsiTheme="minorHAnsi"/>
        </w:rPr>
      </w:pPr>
      <w:bookmarkStart w:id="29" w:name="_Ref238562891"/>
      <w:bookmarkStart w:id="30" w:name="_Ref238564813"/>
      <w:r w:rsidRPr="002C3124">
        <w:rPr>
          <w:rFonts w:asciiTheme="minorHAnsi" w:hAnsiTheme="minorHAnsi"/>
        </w:rPr>
        <w:t xml:space="preserve">The MPO developed 2017-2050 socioeconomic forecasts (population, housing, autos, school enrollment, and employment) by TAZ to support the Richmond/Tri-Cities (RTC) Travel Demand Model, which TCAMPO and RRTPO use for long-range planning and corridor studies. Note that forecasts were assigned to TAZs across all of Dinwiddie County and Prince George County, not just the portions within the TCAMPO planning area. Across the six jurisdictions, total population is </w:t>
      </w:r>
      <w:r w:rsidRPr="002C3124">
        <w:rPr>
          <w:rFonts w:asciiTheme="minorHAnsi" w:hAnsiTheme="minorHAnsi"/>
        </w:rPr>
        <w:lastRenderedPageBreak/>
        <w:t xml:space="preserve">projected to grow by about 20.0% from 191,300 to 229,600; households (occupied housing units) by about 30.9% from 64,400 to 84,300, and total employment by about 22.9% from about 62,400 to 76,800 by 2050. As shown in </w:t>
      </w:r>
      <w:r w:rsidRPr="002C3124">
        <w:rPr>
          <w:rFonts w:asciiTheme="minorHAnsi" w:hAnsiTheme="minorHAnsi"/>
          <w:b/>
          <w:bCs/>
        </w:rPr>
        <w:fldChar w:fldCharType="begin"/>
      </w:r>
      <w:r w:rsidRPr="002C3124">
        <w:rPr>
          <w:rFonts w:asciiTheme="minorHAnsi" w:hAnsiTheme="minorHAnsi"/>
          <w:b/>
          <w:bCs/>
        </w:rPr>
        <w:instrText xml:space="preserve"> REF _Ref238566543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Table </w:t>
      </w:r>
      <w:r w:rsidRPr="002C3124">
        <w:rPr>
          <w:rFonts w:asciiTheme="minorHAnsi" w:hAnsiTheme="minorHAnsi"/>
          <w:b/>
          <w:bCs/>
          <w:noProof/>
        </w:rPr>
        <w:t>1</w:t>
      </w:r>
      <w:r w:rsidRPr="002C3124">
        <w:rPr>
          <w:rFonts w:asciiTheme="minorHAnsi" w:hAnsiTheme="minorHAnsi"/>
          <w:b/>
          <w:bCs/>
        </w:rPr>
        <w:fldChar w:fldCharType="end"/>
      </w:r>
      <w:r w:rsidRPr="002C3124">
        <w:rPr>
          <w:rFonts w:asciiTheme="minorHAnsi" w:hAnsiTheme="minorHAnsi"/>
        </w:rPr>
        <w:t>, growth is uneven across jurisdictions. Chesterfield and Prince George are expected to see the largest growth (Prince George's households will nearly double, up 88.5%), while Dinwiddie, Hopewell, and Petersburg are expected to grow more slowly, and Colonial Heights' employment is projected to stay flat.</w:t>
      </w:r>
    </w:p>
    <w:p w14:paraId="1A61569C" w14:textId="77777777" w:rsidR="004C3648" w:rsidRPr="002C3124" w:rsidRDefault="004C3648" w:rsidP="004C3648">
      <w:pPr>
        <w:pStyle w:val="Caption"/>
      </w:pPr>
      <w:bookmarkStart w:id="31" w:name="_Ref238566543"/>
      <w:r w:rsidRPr="002C3124">
        <w:t xml:space="preserve">Table </w:t>
      </w:r>
      <w:fldSimple w:instr=" SEQ Table \* ARABIC ">
        <w:r>
          <w:rPr>
            <w:noProof/>
          </w:rPr>
          <w:t>1</w:t>
        </w:r>
      </w:fldSimple>
      <w:bookmarkEnd w:id="29"/>
      <w:bookmarkEnd w:id="30"/>
      <w:bookmarkEnd w:id="31"/>
      <w:r w:rsidRPr="002C3124">
        <w:t>. 2017-2045 Socioeconomic Forecasts</w:t>
      </w:r>
    </w:p>
    <w:tbl>
      <w:tblPr>
        <w:tblStyle w:val="PlainTable1"/>
        <w:tblW w:w="5000" w:type="pct"/>
        <w:tblLook w:val="04E0" w:firstRow="1" w:lastRow="1" w:firstColumn="1" w:lastColumn="0" w:noHBand="0" w:noVBand="1"/>
      </w:tblPr>
      <w:tblGrid>
        <w:gridCol w:w="1792"/>
        <w:gridCol w:w="1249"/>
        <w:gridCol w:w="1249"/>
        <w:gridCol w:w="1318"/>
        <w:gridCol w:w="1249"/>
        <w:gridCol w:w="1249"/>
        <w:gridCol w:w="1244"/>
      </w:tblGrid>
      <w:tr w:rsidR="004C3648" w:rsidRPr="00E101E9" w14:paraId="2E779EA5" w14:textId="77777777" w:rsidTr="00CA419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vMerge w:val="restart"/>
            <w:vAlign w:val="center"/>
          </w:tcPr>
          <w:p w14:paraId="23446495" w14:textId="77777777" w:rsidR="004C3648" w:rsidRPr="00E101E9" w:rsidRDefault="004C3648" w:rsidP="00CA4198">
            <w:pPr>
              <w:pStyle w:val="NoSpacing"/>
              <w:jc w:val="center"/>
              <w:rPr>
                <w:rFonts w:asciiTheme="minorHAnsi" w:hAnsiTheme="minorHAnsi" w:cs="Arial"/>
                <w:sz w:val="20"/>
                <w:szCs w:val="20"/>
              </w:rPr>
            </w:pPr>
            <w:r>
              <w:rPr>
                <w:rFonts w:asciiTheme="minorHAnsi" w:hAnsiTheme="minorHAnsi" w:cs="Arial"/>
                <w:sz w:val="20"/>
                <w:szCs w:val="20"/>
              </w:rPr>
              <w:t>Jurisdictions</w:t>
            </w:r>
          </w:p>
        </w:tc>
        <w:tc>
          <w:tcPr>
            <w:tcW w:w="1336" w:type="pct"/>
            <w:gridSpan w:val="2"/>
            <w:vAlign w:val="center"/>
          </w:tcPr>
          <w:p w14:paraId="11D36DAA" w14:textId="77777777" w:rsidR="004C3648" w:rsidRPr="00E101E9" w:rsidRDefault="004C3648" w:rsidP="00CA4198">
            <w:pPr>
              <w:pStyle w:val="No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cs="Arial"/>
                <w:sz w:val="20"/>
                <w:szCs w:val="20"/>
              </w:rPr>
              <w:t>Total Population</w:t>
            </w:r>
          </w:p>
        </w:tc>
        <w:tc>
          <w:tcPr>
            <w:tcW w:w="1373" w:type="pct"/>
            <w:gridSpan w:val="2"/>
            <w:vAlign w:val="center"/>
          </w:tcPr>
          <w:p w14:paraId="7722DBCF" w14:textId="77777777" w:rsidR="004C3648" w:rsidRPr="005A200A" w:rsidRDefault="004C3648" w:rsidP="00CA4198">
            <w:pPr>
              <w:pStyle w:val="No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sz w:val="20"/>
                <w:szCs w:val="20"/>
              </w:rPr>
              <w:t>Households</w:t>
            </w:r>
          </w:p>
        </w:tc>
        <w:tc>
          <w:tcPr>
            <w:tcW w:w="1333" w:type="pct"/>
            <w:gridSpan w:val="2"/>
            <w:vAlign w:val="center"/>
          </w:tcPr>
          <w:p w14:paraId="0F57983A" w14:textId="77777777" w:rsidR="004C3648" w:rsidRPr="00E101E9" w:rsidRDefault="004C3648" w:rsidP="00CA4198">
            <w:pPr>
              <w:pStyle w:val="No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Total Employment</w:t>
            </w:r>
          </w:p>
        </w:tc>
      </w:tr>
      <w:tr w:rsidR="004C3648" w:rsidRPr="00E101E9" w14:paraId="1E2F7AD0"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vMerge/>
            <w:vAlign w:val="center"/>
          </w:tcPr>
          <w:p w14:paraId="3E0DF4E9" w14:textId="77777777" w:rsidR="004C3648" w:rsidRPr="00E101E9" w:rsidRDefault="004C3648" w:rsidP="00CA4198">
            <w:pPr>
              <w:pStyle w:val="NoSpacing"/>
              <w:jc w:val="center"/>
              <w:rPr>
                <w:rFonts w:asciiTheme="minorHAnsi" w:hAnsiTheme="minorHAnsi" w:cs="Arial"/>
                <w:sz w:val="20"/>
                <w:szCs w:val="20"/>
              </w:rPr>
            </w:pPr>
          </w:p>
        </w:tc>
        <w:tc>
          <w:tcPr>
            <w:tcW w:w="668" w:type="pct"/>
            <w:vAlign w:val="center"/>
          </w:tcPr>
          <w:p w14:paraId="387967BC"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szCs w:val="20"/>
              </w:rPr>
            </w:pPr>
            <w:r w:rsidRPr="004268A3">
              <w:rPr>
                <w:rFonts w:asciiTheme="minorHAnsi" w:hAnsiTheme="minorHAnsi" w:cs="Arial"/>
                <w:sz w:val="20"/>
                <w:szCs w:val="20"/>
              </w:rPr>
              <w:t>2017</w:t>
            </w:r>
          </w:p>
        </w:tc>
        <w:tc>
          <w:tcPr>
            <w:tcW w:w="668" w:type="pct"/>
            <w:vAlign w:val="center"/>
          </w:tcPr>
          <w:p w14:paraId="248D7004"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0"/>
                <w:szCs w:val="20"/>
              </w:rPr>
            </w:pPr>
            <w:r w:rsidRPr="004268A3">
              <w:rPr>
                <w:rFonts w:asciiTheme="minorHAnsi" w:hAnsiTheme="minorHAnsi"/>
                <w:sz w:val="20"/>
                <w:szCs w:val="20"/>
              </w:rPr>
              <w:t>2050</w:t>
            </w:r>
          </w:p>
        </w:tc>
        <w:tc>
          <w:tcPr>
            <w:tcW w:w="705" w:type="pct"/>
            <w:vAlign w:val="center"/>
          </w:tcPr>
          <w:p w14:paraId="610EFF53"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szCs w:val="20"/>
              </w:rPr>
            </w:pPr>
            <w:r w:rsidRPr="004268A3">
              <w:rPr>
                <w:rFonts w:asciiTheme="minorHAnsi" w:hAnsiTheme="minorHAnsi" w:cs="Arial"/>
                <w:sz w:val="20"/>
                <w:szCs w:val="20"/>
              </w:rPr>
              <w:t>2017</w:t>
            </w:r>
          </w:p>
        </w:tc>
        <w:tc>
          <w:tcPr>
            <w:tcW w:w="668" w:type="pct"/>
            <w:vAlign w:val="center"/>
          </w:tcPr>
          <w:p w14:paraId="176603FF"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0"/>
                <w:szCs w:val="20"/>
              </w:rPr>
            </w:pPr>
            <w:r w:rsidRPr="004268A3">
              <w:rPr>
                <w:rFonts w:asciiTheme="minorHAnsi" w:hAnsiTheme="minorHAnsi" w:cs="Arial"/>
                <w:sz w:val="20"/>
                <w:szCs w:val="20"/>
              </w:rPr>
              <w:t>2050</w:t>
            </w:r>
          </w:p>
        </w:tc>
        <w:tc>
          <w:tcPr>
            <w:tcW w:w="668" w:type="pct"/>
            <w:vAlign w:val="center"/>
          </w:tcPr>
          <w:p w14:paraId="3FB4163E"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0"/>
                <w:szCs w:val="20"/>
              </w:rPr>
            </w:pPr>
            <w:r w:rsidRPr="004268A3">
              <w:rPr>
                <w:rFonts w:asciiTheme="minorHAnsi" w:hAnsiTheme="minorHAnsi" w:cs="Arial"/>
                <w:sz w:val="20"/>
                <w:szCs w:val="20"/>
              </w:rPr>
              <w:t>2017</w:t>
            </w:r>
          </w:p>
        </w:tc>
        <w:tc>
          <w:tcPr>
            <w:tcW w:w="665" w:type="pct"/>
            <w:vAlign w:val="center"/>
          </w:tcPr>
          <w:p w14:paraId="7AC622BC"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0"/>
                <w:szCs w:val="20"/>
              </w:rPr>
            </w:pPr>
            <w:r w:rsidRPr="004268A3">
              <w:rPr>
                <w:rFonts w:asciiTheme="minorHAnsi" w:hAnsiTheme="minorHAnsi" w:cs="Arial"/>
                <w:sz w:val="20"/>
                <w:szCs w:val="20"/>
              </w:rPr>
              <w:t>2050</w:t>
            </w:r>
          </w:p>
        </w:tc>
      </w:tr>
      <w:tr w:rsidR="004C3648" w:rsidRPr="00E101E9" w14:paraId="26A46947"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958" w:type="pct"/>
          </w:tcPr>
          <w:p w14:paraId="1E87426D"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Chesterfield</w:t>
            </w:r>
          </w:p>
        </w:tc>
        <w:tc>
          <w:tcPr>
            <w:tcW w:w="668" w:type="pct"/>
          </w:tcPr>
          <w:p w14:paraId="460C004D"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sz w:val="20"/>
                <w:szCs w:val="20"/>
              </w:rPr>
              <w:t>43,683</w:t>
            </w:r>
          </w:p>
        </w:tc>
        <w:tc>
          <w:tcPr>
            <w:tcW w:w="668" w:type="pct"/>
          </w:tcPr>
          <w:p w14:paraId="5574665C"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61,806</w:t>
            </w:r>
          </w:p>
        </w:tc>
        <w:tc>
          <w:tcPr>
            <w:tcW w:w="705" w:type="pct"/>
          </w:tcPr>
          <w:p w14:paraId="6D87AFD6"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14,909</w:t>
            </w:r>
          </w:p>
        </w:tc>
        <w:tc>
          <w:tcPr>
            <w:tcW w:w="668" w:type="pct"/>
          </w:tcPr>
          <w:p w14:paraId="09718B79"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21,403</w:t>
            </w:r>
          </w:p>
        </w:tc>
        <w:tc>
          <w:tcPr>
            <w:tcW w:w="668" w:type="pct"/>
          </w:tcPr>
          <w:p w14:paraId="640055A1"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10,384</w:t>
            </w:r>
          </w:p>
        </w:tc>
        <w:tc>
          <w:tcPr>
            <w:tcW w:w="665" w:type="pct"/>
          </w:tcPr>
          <w:p w14:paraId="7BE1F5EC"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16,645</w:t>
            </w:r>
          </w:p>
        </w:tc>
      </w:tr>
      <w:tr w:rsidR="004C3648" w:rsidRPr="00E101E9" w14:paraId="70B95DC0"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tcPr>
          <w:p w14:paraId="0C679D17"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Dinwiddie</w:t>
            </w:r>
          </w:p>
        </w:tc>
        <w:tc>
          <w:tcPr>
            <w:tcW w:w="668" w:type="pct"/>
          </w:tcPr>
          <w:p w14:paraId="7E023C17"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28,504</w:t>
            </w:r>
          </w:p>
        </w:tc>
        <w:tc>
          <w:tcPr>
            <w:tcW w:w="668" w:type="pct"/>
          </w:tcPr>
          <w:p w14:paraId="36C83C29"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30,477</w:t>
            </w:r>
          </w:p>
        </w:tc>
        <w:tc>
          <w:tcPr>
            <w:tcW w:w="705" w:type="pct"/>
          </w:tcPr>
          <w:p w14:paraId="3AB8C9D6"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9,980</w:t>
            </w:r>
          </w:p>
        </w:tc>
        <w:tc>
          <w:tcPr>
            <w:tcW w:w="668" w:type="pct"/>
          </w:tcPr>
          <w:p w14:paraId="5E23E185"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10,500</w:t>
            </w:r>
          </w:p>
        </w:tc>
        <w:tc>
          <w:tcPr>
            <w:tcW w:w="668" w:type="pct"/>
          </w:tcPr>
          <w:p w14:paraId="218F8FCC"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8,647</w:t>
            </w:r>
          </w:p>
        </w:tc>
        <w:tc>
          <w:tcPr>
            <w:tcW w:w="665" w:type="pct"/>
          </w:tcPr>
          <w:p w14:paraId="1B8C4ED7"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10,438</w:t>
            </w:r>
          </w:p>
        </w:tc>
      </w:tr>
      <w:tr w:rsidR="004C3648" w:rsidRPr="00E101E9" w14:paraId="458C6E29"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958" w:type="pct"/>
          </w:tcPr>
          <w:p w14:paraId="124E922D"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Prince George</w:t>
            </w:r>
          </w:p>
        </w:tc>
        <w:tc>
          <w:tcPr>
            <w:tcW w:w="668" w:type="pct"/>
          </w:tcPr>
          <w:p w14:paraId="6B4A92E6"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45,881</w:t>
            </w:r>
          </w:p>
        </w:tc>
        <w:tc>
          <w:tcPr>
            <w:tcW w:w="668" w:type="pct"/>
          </w:tcPr>
          <w:p w14:paraId="26F2777E"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60,888</w:t>
            </w:r>
          </w:p>
        </w:tc>
        <w:tc>
          <w:tcPr>
            <w:tcW w:w="705" w:type="pct"/>
          </w:tcPr>
          <w:p w14:paraId="3EDEF304"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12,543</w:t>
            </w:r>
          </w:p>
        </w:tc>
        <w:tc>
          <w:tcPr>
            <w:tcW w:w="668" w:type="pct"/>
          </w:tcPr>
          <w:p w14:paraId="0A1DBCEB"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23,640</w:t>
            </w:r>
          </w:p>
        </w:tc>
        <w:tc>
          <w:tcPr>
            <w:tcW w:w="668" w:type="pct"/>
          </w:tcPr>
          <w:p w14:paraId="31E53C65"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13,790</w:t>
            </w:r>
          </w:p>
        </w:tc>
        <w:tc>
          <w:tcPr>
            <w:tcW w:w="665" w:type="pct"/>
          </w:tcPr>
          <w:p w14:paraId="424AAAEF"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19,422</w:t>
            </w:r>
          </w:p>
        </w:tc>
      </w:tr>
      <w:tr w:rsidR="004C3648" w:rsidRPr="00E101E9" w14:paraId="6B667F4B"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tcPr>
          <w:p w14:paraId="376B04D8"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Colonial Heights</w:t>
            </w:r>
          </w:p>
        </w:tc>
        <w:tc>
          <w:tcPr>
            <w:tcW w:w="668" w:type="pct"/>
          </w:tcPr>
          <w:p w14:paraId="1FA5A62A"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sidRPr="00FA5759">
              <w:rPr>
                <w:rFonts w:asciiTheme="minorHAnsi" w:hAnsiTheme="minorHAnsi"/>
                <w:sz w:val="20"/>
                <w:szCs w:val="20"/>
              </w:rPr>
              <w:t>17,39</w:t>
            </w:r>
            <w:r>
              <w:rPr>
                <w:rFonts w:asciiTheme="minorHAnsi" w:hAnsiTheme="minorHAnsi"/>
                <w:sz w:val="20"/>
                <w:szCs w:val="20"/>
              </w:rPr>
              <w:t>5</w:t>
            </w:r>
          </w:p>
        </w:tc>
        <w:tc>
          <w:tcPr>
            <w:tcW w:w="668" w:type="pct"/>
          </w:tcPr>
          <w:p w14:paraId="30E46EFA"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19,64</w:t>
            </w:r>
            <w:r>
              <w:rPr>
                <w:rFonts w:asciiTheme="minorHAnsi" w:hAnsiTheme="minorHAnsi" w:cs="Arial"/>
                <w:sz w:val="20"/>
                <w:szCs w:val="20"/>
              </w:rPr>
              <w:t>6</w:t>
            </w:r>
          </w:p>
        </w:tc>
        <w:tc>
          <w:tcPr>
            <w:tcW w:w="705" w:type="pct"/>
          </w:tcPr>
          <w:p w14:paraId="46823EDE"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6,782</w:t>
            </w:r>
          </w:p>
        </w:tc>
        <w:tc>
          <w:tcPr>
            <w:tcW w:w="668" w:type="pct"/>
          </w:tcPr>
          <w:p w14:paraId="0DB2A085"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7,682</w:t>
            </w:r>
          </w:p>
        </w:tc>
        <w:tc>
          <w:tcPr>
            <w:tcW w:w="668" w:type="pct"/>
          </w:tcPr>
          <w:p w14:paraId="18C4C7F0"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9,344</w:t>
            </w:r>
          </w:p>
        </w:tc>
        <w:tc>
          <w:tcPr>
            <w:tcW w:w="665" w:type="pct"/>
          </w:tcPr>
          <w:p w14:paraId="50370FD0"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9,344</w:t>
            </w:r>
          </w:p>
        </w:tc>
      </w:tr>
      <w:tr w:rsidR="004C3648" w:rsidRPr="00E101E9" w14:paraId="7B6E7AE8"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958" w:type="pct"/>
          </w:tcPr>
          <w:p w14:paraId="562E4D31"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Hopewell</w:t>
            </w:r>
          </w:p>
        </w:tc>
        <w:tc>
          <w:tcPr>
            <w:tcW w:w="668" w:type="pct"/>
          </w:tcPr>
          <w:p w14:paraId="49542ED6"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sz w:val="20"/>
                <w:szCs w:val="20"/>
              </w:rPr>
              <w:t>22,941</w:t>
            </w:r>
          </w:p>
        </w:tc>
        <w:tc>
          <w:tcPr>
            <w:tcW w:w="668" w:type="pct"/>
          </w:tcPr>
          <w:p w14:paraId="3D95A002"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23,471</w:t>
            </w:r>
          </w:p>
        </w:tc>
        <w:tc>
          <w:tcPr>
            <w:tcW w:w="705" w:type="pct"/>
          </w:tcPr>
          <w:p w14:paraId="30284585"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8,910</w:t>
            </w:r>
          </w:p>
        </w:tc>
        <w:tc>
          <w:tcPr>
            <w:tcW w:w="668" w:type="pct"/>
          </w:tcPr>
          <w:p w14:paraId="13FFBC29"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9,325</w:t>
            </w:r>
          </w:p>
        </w:tc>
        <w:tc>
          <w:tcPr>
            <w:tcW w:w="668" w:type="pct"/>
          </w:tcPr>
          <w:p w14:paraId="54E23740"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7,137</w:t>
            </w:r>
          </w:p>
        </w:tc>
        <w:tc>
          <w:tcPr>
            <w:tcW w:w="665" w:type="pct"/>
          </w:tcPr>
          <w:p w14:paraId="056E8199"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7,366</w:t>
            </w:r>
          </w:p>
        </w:tc>
      </w:tr>
      <w:tr w:rsidR="004C3648" w:rsidRPr="00E101E9" w14:paraId="6DDE0059"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tcPr>
          <w:p w14:paraId="586E1C8D"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Petersburg</w:t>
            </w:r>
          </w:p>
        </w:tc>
        <w:tc>
          <w:tcPr>
            <w:tcW w:w="668" w:type="pct"/>
          </w:tcPr>
          <w:p w14:paraId="134A3A3F"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32,918</w:t>
            </w:r>
          </w:p>
        </w:tc>
        <w:tc>
          <w:tcPr>
            <w:tcW w:w="668" w:type="pct"/>
          </w:tcPr>
          <w:p w14:paraId="21A94161"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33,280</w:t>
            </w:r>
          </w:p>
        </w:tc>
        <w:tc>
          <w:tcPr>
            <w:tcW w:w="705" w:type="pct"/>
          </w:tcPr>
          <w:p w14:paraId="753DEC71"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11,280</w:t>
            </w:r>
          </w:p>
        </w:tc>
        <w:tc>
          <w:tcPr>
            <w:tcW w:w="668" w:type="pct"/>
          </w:tcPr>
          <w:p w14:paraId="63A4B2D2"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11,727</w:t>
            </w:r>
          </w:p>
        </w:tc>
        <w:tc>
          <w:tcPr>
            <w:tcW w:w="668" w:type="pct"/>
          </w:tcPr>
          <w:p w14:paraId="406D0139"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13,130</w:t>
            </w:r>
          </w:p>
        </w:tc>
        <w:tc>
          <w:tcPr>
            <w:tcW w:w="665" w:type="pct"/>
          </w:tcPr>
          <w:p w14:paraId="30D4C6DE"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13,540</w:t>
            </w:r>
          </w:p>
        </w:tc>
      </w:tr>
      <w:tr w:rsidR="004C3648" w:rsidRPr="00E101E9" w14:paraId="109BDEDE" w14:textId="77777777" w:rsidTr="00CA4198">
        <w:trPr>
          <w:cnfStyle w:val="010000000000" w:firstRow="0" w:lastRow="1"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tcPr>
          <w:p w14:paraId="78C03E08"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sz w:val="20"/>
                <w:szCs w:val="20"/>
              </w:rPr>
              <w:t>TCAMPO</w:t>
            </w:r>
          </w:p>
        </w:tc>
        <w:tc>
          <w:tcPr>
            <w:tcW w:w="668" w:type="pct"/>
          </w:tcPr>
          <w:p w14:paraId="0218A1BC"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191,322</w:t>
            </w:r>
          </w:p>
        </w:tc>
        <w:tc>
          <w:tcPr>
            <w:tcW w:w="668" w:type="pct"/>
          </w:tcPr>
          <w:p w14:paraId="06016146"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229,568</w:t>
            </w:r>
          </w:p>
        </w:tc>
        <w:tc>
          <w:tcPr>
            <w:tcW w:w="705" w:type="pct"/>
          </w:tcPr>
          <w:p w14:paraId="7DFD61D7"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64,404</w:t>
            </w:r>
          </w:p>
        </w:tc>
        <w:tc>
          <w:tcPr>
            <w:tcW w:w="668" w:type="pct"/>
          </w:tcPr>
          <w:p w14:paraId="7C9F7AC4"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84,277</w:t>
            </w:r>
          </w:p>
        </w:tc>
        <w:tc>
          <w:tcPr>
            <w:tcW w:w="668" w:type="pct"/>
          </w:tcPr>
          <w:p w14:paraId="0D35A412"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62,432</w:t>
            </w:r>
          </w:p>
        </w:tc>
        <w:tc>
          <w:tcPr>
            <w:tcW w:w="665" w:type="pct"/>
          </w:tcPr>
          <w:p w14:paraId="5DE40B8C"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76,755</w:t>
            </w:r>
          </w:p>
        </w:tc>
      </w:tr>
    </w:tbl>
    <w:p w14:paraId="46C1986E" w14:textId="77777777" w:rsidR="004C3648" w:rsidRPr="00BA1F82" w:rsidRDefault="004C3648" w:rsidP="004C3648">
      <w:pPr>
        <w:pStyle w:val="Caption"/>
      </w:pPr>
      <w:r>
        <w:br/>
      </w:r>
      <w:r w:rsidRPr="00BA1F82">
        <w:lastRenderedPageBreak/>
        <w:t xml:space="preserve">Figure </w:t>
      </w:r>
      <w:fldSimple w:instr=" SEQ Figure \* ARABIC ">
        <w:r>
          <w:rPr>
            <w:noProof/>
          </w:rPr>
          <w:t>14</w:t>
        </w:r>
      </w:fldSimple>
      <w:r w:rsidRPr="00BA1F82">
        <w:t>. Employment Change per Acre by Traffic Analysis Zone (TAZ), 2017-</w:t>
      </w:r>
      <w:commentRangeStart w:id="32"/>
      <w:r w:rsidRPr="00BA1F82">
        <w:t>2050</w:t>
      </w:r>
      <w:commentRangeEnd w:id="32"/>
      <w:r w:rsidRPr="00BA1F82">
        <w:rPr>
          <w:rStyle w:val="CommentReference"/>
          <w:sz w:val="22"/>
          <w:szCs w:val="22"/>
        </w:rPr>
        <w:commentReference w:id="32"/>
      </w:r>
    </w:p>
    <w:p w14:paraId="0C018D21" w14:textId="77777777" w:rsidR="004C3648" w:rsidRPr="00C864D1" w:rsidRDefault="004C3648" w:rsidP="004C3648">
      <w:pPr>
        <w:tabs>
          <w:tab w:val="left" w:pos="6516"/>
          <w:tab w:val="right" w:leader="dot" w:pos="14463"/>
        </w:tabs>
        <w:spacing w:before="240" w:after="240"/>
        <w:rPr>
          <w:spacing w:val="-2"/>
        </w:rPr>
      </w:pPr>
      <w:r w:rsidRPr="00C864D1">
        <w:rPr>
          <w:noProof/>
          <w:spacing w:val="-2"/>
          <w14:ligatures w14:val="standardContextual"/>
        </w:rPr>
        <w:drawing>
          <wp:inline distT="0" distB="0" distL="0" distR="0" wp14:anchorId="3548E381" wp14:editId="484C966B">
            <wp:extent cx="5943598" cy="4592781"/>
            <wp:effectExtent l="0" t="0" r="635" b="0"/>
            <wp:docPr id="156766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6978" name="Picture 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598" cy="4592781"/>
                    </a:xfrm>
                    <a:prstGeom prst="rect">
                      <a:avLst/>
                    </a:prstGeom>
                  </pic:spPr>
                </pic:pic>
              </a:graphicData>
            </a:graphic>
          </wp:inline>
        </w:drawing>
      </w:r>
      <w:r w:rsidRPr="00C864D1">
        <w:tab/>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