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FC95" w14:textId="4CAE683B" w:rsidR="004C3648" w:rsidRPr="00C864D1" w:rsidRDefault="004C3648" w:rsidP="004C3648">
      <w:pPr>
        <w:pStyle w:val="Heading2"/>
      </w:pPr>
      <w:r w:rsidRPr="00C864D1">
        <w:lastRenderedPageBreak/>
        <w:t>Chapter 2: National and Regional Trends and Forecasts</w:t>
      </w:r>
      <w:r w:rsidRPr="00C864D1">
        <w:tab/>
      </w:r>
    </w:p>
    <w:p w14:paraId="1297C747" w14:textId="77777777" w:rsidR="004C3648" w:rsidRDefault="004C3648" w:rsidP="004C3648">
      <w:pPr>
        <w:pStyle w:val="Heading3"/>
      </w:pPr>
      <w:r w:rsidRPr="00C864D1">
        <w:t>Travel Patterns</w:t>
      </w:r>
    </w:p>
    <w:p w14:paraId="63C4BCA4" w14:textId="77777777" w:rsidR="004C3648" w:rsidRDefault="004C3648" w:rsidP="004C3648">
      <w:pPr>
        <w:tabs>
          <w:tab w:val="left" w:pos="6516"/>
          <w:tab w:val="right" w:leader="dot" w:pos="14463"/>
        </w:tabs>
        <w:spacing w:before="240" w:after="240"/>
        <w:rPr>
          <w:rFonts w:asciiTheme="minorHAnsi" w:hAnsiTheme="minorHAnsi"/>
        </w:rPr>
      </w:pPr>
      <w:r w:rsidRPr="00D867F3">
        <w:rPr>
          <w:rFonts w:asciiTheme="minorHAnsi" w:hAnsiTheme="minorHAnsi"/>
        </w:rPr>
        <w:t xml:space="preserve">Population and employment changes shape both development and travel patterns throughout the region. Understanding these existing patterns provides a basis for developing future transportation needs. Examining trip flows, </w:t>
      </w:r>
      <w:r>
        <w:rPr>
          <w:rFonts w:asciiTheme="minorHAnsi" w:hAnsiTheme="minorHAnsi"/>
        </w:rPr>
        <w:t>household vehicle availability, mode share</w:t>
      </w:r>
      <w:r w:rsidRPr="00D867F3">
        <w:rPr>
          <w:rFonts w:asciiTheme="minorHAnsi" w:hAnsiTheme="minorHAnsi"/>
        </w:rPr>
        <w:t xml:space="preserve">, and </w:t>
      </w:r>
      <w:r>
        <w:rPr>
          <w:rFonts w:asciiTheme="minorHAnsi" w:hAnsiTheme="minorHAnsi"/>
        </w:rPr>
        <w:t xml:space="preserve">forecasted </w:t>
      </w:r>
      <w:r w:rsidRPr="00D867F3">
        <w:rPr>
          <w:rFonts w:asciiTheme="minorHAnsi" w:hAnsiTheme="minorHAnsi"/>
        </w:rPr>
        <w:t>travel demand helps inform decision makers about the investments that are needed to support economic vitality, improve mobility, and enhance quality of life for residents and visitors alike. Figure X illustrates how residents currently travel throughout the region, showing the distribution of trips across different modes of transportation.</w:t>
      </w:r>
    </w:p>
    <w:p w14:paraId="0D85D538" w14:textId="77777777" w:rsidR="004C3648" w:rsidRPr="00B31AFF" w:rsidRDefault="004C3648" w:rsidP="004C3648">
      <w:pPr>
        <w:tabs>
          <w:tab w:val="left" w:pos="6516"/>
          <w:tab w:val="right" w:leader="dot" w:pos="14463"/>
        </w:tabs>
        <w:spacing w:before="240" w:after="240"/>
        <w:rPr>
          <w:spacing w:val="-2"/>
        </w:rPr>
      </w:pPr>
      <w:r w:rsidRPr="00B31AFF">
        <w:rPr>
          <w:spacing w:val="-2"/>
          <w:highlight w:val="yellow"/>
        </w:rPr>
        <w:t xml:space="preserve">Trips by Mode - </w:t>
      </w:r>
      <w:commentRangeStart w:id="35"/>
      <w:r w:rsidRPr="00B31AFF">
        <w:rPr>
          <w:spacing w:val="-2"/>
          <w:highlight w:val="yellow"/>
        </w:rPr>
        <w:t>TBD</w:t>
      </w:r>
      <w:commentRangeEnd w:id="35"/>
      <w:r w:rsidRPr="00B31AFF">
        <w:rPr>
          <w:rStyle w:val="CommentReference"/>
          <w:spacing w:val="-2"/>
          <w:sz w:val="22"/>
          <w:szCs w:val="22"/>
        </w:rPr>
        <w:commentReference w:id="35"/>
      </w:r>
    </w:p>
    <w:p w14:paraId="62517F90" w14:textId="77777777" w:rsidR="004C3648" w:rsidRPr="002C3124" w:rsidRDefault="004C3648" w:rsidP="004C3648">
      <w:pPr>
        <w:rPr>
          <w:rFonts w:asciiTheme="minorHAnsi" w:hAnsiTheme="minorHAnsi"/>
          <w:b/>
          <w:bCs/>
        </w:rPr>
      </w:pPr>
      <w:bookmarkStart w:id="36" w:name="_Ref228980507"/>
      <w:r w:rsidRPr="002C3124">
        <w:rPr>
          <w:rFonts w:asciiTheme="minorHAnsi" w:hAnsiTheme="minorHAnsi"/>
        </w:rPr>
        <w:t xml:space="preserve">Household vehicle availability is one of the biggest determinants of </w:t>
      </w:r>
      <w:r>
        <w:rPr>
          <w:rFonts w:asciiTheme="minorHAnsi" w:hAnsiTheme="minorHAnsi"/>
        </w:rPr>
        <w:t>travel behavior and mode choice</w:t>
      </w:r>
      <w:r w:rsidRPr="002C3124">
        <w:rPr>
          <w:rFonts w:asciiTheme="minorHAnsi" w:hAnsiTheme="minorHAnsi"/>
        </w:rPr>
        <w:t xml:space="preserve">, shaping whether a trip is made by car, transit, walking, or not at all. </w:t>
      </w:r>
      <w:r w:rsidRPr="002C3124">
        <w:rPr>
          <w:rFonts w:asciiTheme="minorHAnsi" w:hAnsiTheme="minorHAnsi"/>
          <w:b/>
          <w:bCs/>
        </w:rPr>
        <w:fldChar w:fldCharType="begin"/>
      </w:r>
      <w:r w:rsidRPr="002C3124">
        <w:rPr>
          <w:rFonts w:asciiTheme="minorHAnsi" w:hAnsiTheme="minorHAnsi"/>
          <w:b/>
          <w:bCs/>
        </w:rPr>
        <w:instrText xml:space="preserve"> REF _Ref238740173 \h  \* MERGEFORMAT </w:instrText>
      </w:r>
      <w:r w:rsidRPr="002C3124">
        <w:rPr>
          <w:rFonts w:asciiTheme="minorHAnsi" w:hAnsiTheme="minorHAnsi"/>
          <w:b/>
          <w:bCs/>
        </w:rPr>
      </w:r>
      <w:r w:rsidRPr="002C3124">
        <w:rPr>
          <w:rFonts w:asciiTheme="minorHAnsi" w:hAnsiTheme="minorHAnsi"/>
          <w:b/>
          <w:bCs/>
        </w:rPr>
        <w:fldChar w:fldCharType="separate"/>
      </w:r>
      <w:r w:rsidRPr="002C3124">
        <w:rPr>
          <w:rFonts w:asciiTheme="minorHAnsi" w:hAnsiTheme="minorHAnsi"/>
          <w:b/>
          <w:bCs/>
        </w:rPr>
        <w:t xml:space="preserve">Table </w:t>
      </w:r>
      <w:r w:rsidRPr="002C3124">
        <w:rPr>
          <w:rFonts w:asciiTheme="minorHAnsi" w:hAnsiTheme="minorHAnsi"/>
          <w:b/>
          <w:bCs/>
          <w:noProof/>
        </w:rPr>
        <w:t>2</w:t>
      </w:r>
      <w:r w:rsidRPr="002C3124">
        <w:rPr>
          <w:rFonts w:asciiTheme="minorHAnsi" w:hAnsiTheme="minorHAnsi"/>
          <w:b/>
          <w:bCs/>
        </w:rPr>
        <w:fldChar w:fldCharType="end"/>
      </w:r>
      <w:r w:rsidRPr="002C3124">
        <w:rPr>
          <w:rFonts w:asciiTheme="minorHAnsi" w:hAnsiTheme="minorHAnsi"/>
        </w:rPr>
        <w:t xml:space="preserve"> presents the distribution of households by vehicle availability and jurisdiction. Vehicle availability is categorized by the number of vehicles available per household, ranging from zero vehicles to three or more vehicles. Because census tracts are the smallest geographic unit for which vehicle availability data are available from </w:t>
      </w:r>
      <w:r>
        <w:rPr>
          <w:rFonts w:asciiTheme="minorHAnsi" w:hAnsiTheme="minorHAnsi"/>
        </w:rPr>
        <w:t>the American Community Survey (ACS)</w:t>
      </w:r>
      <w:r w:rsidRPr="002C3124">
        <w:rPr>
          <w:rFonts w:asciiTheme="minorHAnsi" w:hAnsiTheme="minorHAnsi"/>
        </w:rPr>
        <w:t xml:space="preserve">, estimates for </w:t>
      </w:r>
      <w:r>
        <w:rPr>
          <w:rFonts w:asciiTheme="minorHAnsi" w:hAnsiTheme="minorHAnsi"/>
        </w:rPr>
        <w:t xml:space="preserve">the portions of </w:t>
      </w:r>
      <w:r w:rsidRPr="002C3124">
        <w:rPr>
          <w:rFonts w:asciiTheme="minorHAnsi" w:hAnsiTheme="minorHAnsi"/>
        </w:rPr>
        <w:t xml:space="preserve">Chesterfield, Dinwiddie, and Prince George </w:t>
      </w:r>
      <w:r>
        <w:rPr>
          <w:rFonts w:asciiTheme="minorHAnsi" w:hAnsiTheme="minorHAnsi"/>
        </w:rPr>
        <w:t xml:space="preserve">within TCAMPO </w:t>
      </w:r>
      <w:r w:rsidRPr="002C3124">
        <w:rPr>
          <w:rFonts w:asciiTheme="minorHAnsi" w:hAnsiTheme="minorHAnsi"/>
        </w:rPr>
        <w:t>were calculated using population-weighted spatial interpolation.</w:t>
      </w:r>
    </w:p>
    <w:p w14:paraId="6B979652" w14:textId="77777777" w:rsidR="004C3648" w:rsidRPr="002C3124" w:rsidRDefault="004C3648" w:rsidP="004C3648">
      <w:pPr>
        <w:rPr>
          <w:rFonts w:asciiTheme="minorHAnsi" w:hAnsiTheme="minorHAnsi"/>
        </w:rPr>
      </w:pPr>
      <w:r>
        <w:rPr>
          <w:rFonts w:asciiTheme="minorHAnsi" w:hAnsiTheme="minorHAnsi"/>
        </w:rPr>
        <w:t>As shown below, v</w:t>
      </w:r>
      <w:r w:rsidRPr="002C3124">
        <w:rPr>
          <w:rFonts w:asciiTheme="minorHAnsi" w:hAnsiTheme="minorHAnsi"/>
        </w:rPr>
        <w:t xml:space="preserve">ehicle availability varies considerably across the region, generally tracking </w:t>
      </w:r>
      <w:r w:rsidRPr="002C3124">
        <w:rPr>
          <w:rFonts w:asciiTheme="minorHAnsi" w:hAnsiTheme="minorHAnsi"/>
        </w:rPr>
        <w:lastRenderedPageBreak/>
        <w:t xml:space="preserve">differences in </w:t>
      </w:r>
      <w:r>
        <w:rPr>
          <w:rFonts w:asciiTheme="minorHAnsi" w:hAnsiTheme="minorHAnsi"/>
        </w:rPr>
        <w:t xml:space="preserve">population </w:t>
      </w:r>
      <w:r w:rsidRPr="002C3124">
        <w:rPr>
          <w:rFonts w:asciiTheme="minorHAnsi" w:hAnsiTheme="minorHAnsi"/>
        </w:rPr>
        <w:t>density</w:t>
      </w:r>
      <w:r>
        <w:rPr>
          <w:rFonts w:asciiTheme="minorHAnsi" w:hAnsiTheme="minorHAnsi"/>
        </w:rPr>
        <w:t xml:space="preserve"> and household income</w:t>
      </w:r>
      <w:r w:rsidRPr="002C3124">
        <w:rPr>
          <w:rFonts w:asciiTheme="minorHAnsi" w:hAnsiTheme="minorHAnsi"/>
        </w:rPr>
        <w:t>. Petersburg has the highest share of zero-vehicle households (14.84%) and the highest combined zero-and-one-vehicle share (63.27%). Hopewell also shows an above-average zero-vehicle share (11.66%). At the other end, Dinwiddie has the highest share of three-plus-vehicle households (46.34%), reflecting its more rural, auto-dependent character, with Prince George and Chesterfield showing similar trends. Overall, TCAMPO (8.20% zero-vehicle) skews slightly higher than Virginia statewide (6.10% zero-vehicle) in low-vehicle-availability households, driven mainly by Petersburg and Hopewell.</w:t>
      </w:r>
      <w:bookmarkEnd w:id="36"/>
    </w:p>
    <w:p w14:paraId="316EADEB" w14:textId="77777777" w:rsidR="004C3648" w:rsidRDefault="004C3648" w:rsidP="004C3648">
      <w:pPr>
        <w:pStyle w:val="Caption"/>
      </w:pPr>
      <w:bookmarkStart w:id="37" w:name="_Ref238740173"/>
      <w:r>
        <w:t xml:space="preserve">Table </w:t>
      </w:r>
      <w:fldSimple w:instr=" SEQ Table \* ARABIC ">
        <w:r>
          <w:rPr>
            <w:noProof/>
          </w:rPr>
          <w:t>2</w:t>
        </w:r>
      </w:fldSimple>
      <w:bookmarkEnd w:id="37"/>
      <w:r>
        <w:t>. Household Vehicle Availability by Jurisdiction</w:t>
      </w:r>
    </w:p>
    <w:tbl>
      <w:tblPr>
        <w:tblStyle w:val="PlainTable1"/>
        <w:tblW w:w="4998" w:type="pct"/>
        <w:tblLook w:val="0460" w:firstRow="1" w:lastRow="1" w:firstColumn="0" w:lastColumn="0" w:noHBand="0" w:noVBand="1"/>
      </w:tblPr>
      <w:tblGrid>
        <w:gridCol w:w="2313"/>
        <w:gridCol w:w="1407"/>
        <w:gridCol w:w="1408"/>
        <w:gridCol w:w="1408"/>
        <w:gridCol w:w="1408"/>
        <w:gridCol w:w="1402"/>
      </w:tblGrid>
      <w:tr w:rsidR="004C3648" w:rsidRPr="00C864D1" w14:paraId="43C554E5" w14:textId="77777777" w:rsidTr="00CA4198">
        <w:trPr>
          <w:cnfStyle w:val="100000000000" w:firstRow="1" w:lastRow="0" w:firstColumn="0" w:lastColumn="0" w:oddVBand="0" w:evenVBand="0" w:oddHBand="0" w:evenHBand="0" w:firstRowFirstColumn="0" w:firstRowLastColumn="0" w:lastRowFirstColumn="0" w:lastRowLastColumn="0"/>
          <w:trHeight w:val="432"/>
        </w:trPr>
        <w:tc>
          <w:tcPr>
            <w:tcW w:w="1238" w:type="pct"/>
            <w:vAlign w:val="center"/>
          </w:tcPr>
          <w:p w14:paraId="7E12DA06"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Jurisdiction</w:t>
            </w:r>
          </w:p>
        </w:tc>
        <w:tc>
          <w:tcPr>
            <w:tcW w:w="753" w:type="pct"/>
            <w:vAlign w:val="center"/>
          </w:tcPr>
          <w:p w14:paraId="34430739" w14:textId="77777777" w:rsidR="004C3648" w:rsidRPr="00C864D1" w:rsidRDefault="004C3648" w:rsidP="00CA4198">
            <w:pPr>
              <w:pStyle w:val="NoSpacing"/>
              <w:jc w:val="center"/>
              <w:rPr>
                <w:rFonts w:asciiTheme="majorHAnsi" w:hAnsiTheme="majorHAnsi" w:cs="Arial"/>
                <w:sz w:val="20"/>
                <w:szCs w:val="20"/>
              </w:rPr>
            </w:pPr>
            <w:r>
              <w:rPr>
                <w:rFonts w:asciiTheme="majorHAnsi" w:hAnsiTheme="majorHAnsi" w:cs="Arial"/>
                <w:sz w:val="20"/>
                <w:szCs w:val="20"/>
              </w:rPr>
              <w:t>Households</w:t>
            </w:r>
          </w:p>
        </w:tc>
        <w:tc>
          <w:tcPr>
            <w:tcW w:w="753" w:type="pct"/>
            <w:vAlign w:val="center"/>
          </w:tcPr>
          <w:p w14:paraId="0A78F70B"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No Vehicle</w:t>
            </w:r>
          </w:p>
        </w:tc>
        <w:tc>
          <w:tcPr>
            <w:tcW w:w="753" w:type="pct"/>
            <w:vAlign w:val="center"/>
          </w:tcPr>
          <w:p w14:paraId="5DAA1299"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1 Vehicle</w:t>
            </w:r>
          </w:p>
        </w:tc>
        <w:tc>
          <w:tcPr>
            <w:tcW w:w="753" w:type="pct"/>
            <w:vAlign w:val="center"/>
          </w:tcPr>
          <w:p w14:paraId="60985ADC"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2 Vehicles</w:t>
            </w:r>
          </w:p>
        </w:tc>
        <w:tc>
          <w:tcPr>
            <w:tcW w:w="751" w:type="pct"/>
            <w:vAlign w:val="center"/>
          </w:tcPr>
          <w:p w14:paraId="4FE29D9C" w14:textId="77777777" w:rsidR="004C3648" w:rsidRPr="00C864D1" w:rsidRDefault="004C3648" w:rsidP="00CA4198">
            <w:pPr>
              <w:pStyle w:val="NoSpacing"/>
              <w:jc w:val="center"/>
              <w:rPr>
                <w:rFonts w:asciiTheme="majorHAnsi" w:hAnsiTheme="majorHAnsi" w:cs="Arial"/>
                <w:sz w:val="20"/>
                <w:szCs w:val="20"/>
              </w:rPr>
            </w:pPr>
            <w:r w:rsidRPr="00C864D1">
              <w:rPr>
                <w:rFonts w:asciiTheme="majorHAnsi" w:hAnsiTheme="majorHAnsi" w:cs="Arial"/>
                <w:sz w:val="20"/>
                <w:szCs w:val="20"/>
              </w:rPr>
              <w:t>3+ Vehicles</w:t>
            </w:r>
          </w:p>
        </w:tc>
      </w:tr>
      <w:tr w:rsidR="004C3648" w:rsidRPr="00C864D1" w14:paraId="0BA8DA51"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0456AC43"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Chesterfield</w:t>
            </w:r>
          </w:p>
        </w:tc>
        <w:tc>
          <w:tcPr>
            <w:tcW w:w="753" w:type="pct"/>
            <w:vAlign w:val="center"/>
          </w:tcPr>
          <w:p w14:paraId="0C1B3C5E"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16,017</w:t>
            </w:r>
          </w:p>
        </w:tc>
        <w:tc>
          <w:tcPr>
            <w:tcW w:w="753" w:type="pct"/>
            <w:vAlign w:val="center"/>
          </w:tcPr>
          <w:p w14:paraId="0BE7943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4.22%</w:t>
            </w:r>
          </w:p>
        </w:tc>
        <w:tc>
          <w:tcPr>
            <w:tcW w:w="753" w:type="pct"/>
            <w:vAlign w:val="center"/>
          </w:tcPr>
          <w:p w14:paraId="4E2D4F41"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22.22%</w:t>
            </w:r>
          </w:p>
        </w:tc>
        <w:tc>
          <w:tcPr>
            <w:tcW w:w="753" w:type="pct"/>
            <w:vAlign w:val="center"/>
          </w:tcPr>
          <w:p w14:paraId="3B464B9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40.93%</w:t>
            </w:r>
          </w:p>
        </w:tc>
        <w:tc>
          <w:tcPr>
            <w:tcW w:w="751" w:type="pct"/>
            <w:vAlign w:val="center"/>
          </w:tcPr>
          <w:p w14:paraId="12CE33E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32.63%</w:t>
            </w:r>
          </w:p>
        </w:tc>
      </w:tr>
      <w:tr w:rsidR="004C3648" w:rsidRPr="00C864D1" w14:paraId="53828A72" w14:textId="77777777" w:rsidTr="00CA4198">
        <w:trPr>
          <w:trHeight w:val="432"/>
        </w:trPr>
        <w:tc>
          <w:tcPr>
            <w:tcW w:w="1238" w:type="pct"/>
            <w:vAlign w:val="center"/>
          </w:tcPr>
          <w:p w14:paraId="67CC02E8"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Dinwiddie</w:t>
            </w:r>
          </w:p>
        </w:tc>
        <w:tc>
          <w:tcPr>
            <w:tcW w:w="753" w:type="pct"/>
            <w:vAlign w:val="center"/>
          </w:tcPr>
          <w:p w14:paraId="189861F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4,409</w:t>
            </w:r>
          </w:p>
        </w:tc>
        <w:tc>
          <w:tcPr>
            <w:tcW w:w="753" w:type="pct"/>
            <w:vAlign w:val="center"/>
          </w:tcPr>
          <w:p w14:paraId="28F1FDFE"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5.90%</w:t>
            </w:r>
          </w:p>
        </w:tc>
        <w:tc>
          <w:tcPr>
            <w:tcW w:w="753" w:type="pct"/>
            <w:vAlign w:val="center"/>
          </w:tcPr>
          <w:p w14:paraId="66A9CFE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19.37%</w:t>
            </w:r>
          </w:p>
        </w:tc>
        <w:tc>
          <w:tcPr>
            <w:tcW w:w="753" w:type="pct"/>
            <w:vAlign w:val="center"/>
          </w:tcPr>
          <w:p w14:paraId="1B9936C5"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28.42%</w:t>
            </w:r>
          </w:p>
        </w:tc>
        <w:tc>
          <w:tcPr>
            <w:tcW w:w="751" w:type="pct"/>
            <w:vAlign w:val="center"/>
          </w:tcPr>
          <w:p w14:paraId="5FD6EE58"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46.34%</w:t>
            </w:r>
          </w:p>
        </w:tc>
      </w:tr>
      <w:tr w:rsidR="004C3648" w:rsidRPr="00C864D1" w14:paraId="2A477578"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52062782"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 xml:space="preserve">Prince George </w:t>
            </w:r>
          </w:p>
        </w:tc>
        <w:tc>
          <w:tcPr>
            <w:tcW w:w="753" w:type="pct"/>
            <w:vAlign w:val="center"/>
          </w:tcPr>
          <w:p w14:paraId="512675E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10,204</w:t>
            </w:r>
          </w:p>
        </w:tc>
        <w:tc>
          <w:tcPr>
            <w:tcW w:w="753" w:type="pct"/>
            <w:vAlign w:val="center"/>
          </w:tcPr>
          <w:p w14:paraId="4B84EF7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3.47%</w:t>
            </w:r>
          </w:p>
        </w:tc>
        <w:tc>
          <w:tcPr>
            <w:tcW w:w="753" w:type="pct"/>
            <w:vAlign w:val="center"/>
          </w:tcPr>
          <w:p w14:paraId="45E26617"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22.95%</w:t>
            </w:r>
          </w:p>
        </w:tc>
        <w:tc>
          <w:tcPr>
            <w:tcW w:w="753" w:type="pct"/>
            <w:vAlign w:val="center"/>
          </w:tcPr>
          <w:p w14:paraId="1973685C"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34.08%</w:t>
            </w:r>
          </w:p>
        </w:tc>
        <w:tc>
          <w:tcPr>
            <w:tcW w:w="751" w:type="pct"/>
            <w:vAlign w:val="center"/>
          </w:tcPr>
          <w:p w14:paraId="7B77496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39.50%</w:t>
            </w:r>
          </w:p>
        </w:tc>
      </w:tr>
      <w:tr w:rsidR="004C3648" w:rsidRPr="00C864D1" w14:paraId="30176520" w14:textId="77777777" w:rsidTr="00CA4198">
        <w:trPr>
          <w:trHeight w:val="432"/>
        </w:trPr>
        <w:tc>
          <w:tcPr>
            <w:tcW w:w="1238" w:type="pct"/>
            <w:vAlign w:val="center"/>
          </w:tcPr>
          <w:p w14:paraId="1272450D"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Colonial Heights</w:t>
            </w:r>
          </w:p>
        </w:tc>
        <w:tc>
          <w:tcPr>
            <w:tcW w:w="753" w:type="pct"/>
            <w:vAlign w:val="center"/>
          </w:tcPr>
          <w:p w14:paraId="44CFD000"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7,530</w:t>
            </w:r>
          </w:p>
        </w:tc>
        <w:tc>
          <w:tcPr>
            <w:tcW w:w="753" w:type="pct"/>
            <w:vAlign w:val="center"/>
          </w:tcPr>
          <w:p w14:paraId="736B666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6.79%</w:t>
            </w:r>
          </w:p>
        </w:tc>
        <w:tc>
          <w:tcPr>
            <w:tcW w:w="753" w:type="pct"/>
            <w:vAlign w:val="center"/>
          </w:tcPr>
          <w:p w14:paraId="7A43F4B9"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33.73%</w:t>
            </w:r>
          </w:p>
        </w:tc>
        <w:tc>
          <w:tcPr>
            <w:tcW w:w="753" w:type="pct"/>
            <w:vAlign w:val="center"/>
          </w:tcPr>
          <w:p w14:paraId="1C105AB7"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35.96%</w:t>
            </w:r>
          </w:p>
        </w:tc>
        <w:tc>
          <w:tcPr>
            <w:tcW w:w="751" w:type="pct"/>
            <w:vAlign w:val="center"/>
          </w:tcPr>
          <w:p w14:paraId="3A74DB8C"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23.52%</w:t>
            </w:r>
          </w:p>
        </w:tc>
      </w:tr>
      <w:tr w:rsidR="004C3648" w:rsidRPr="00C864D1" w14:paraId="1D95BDD5"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vAlign w:val="center"/>
          </w:tcPr>
          <w:p w14:paraId="0C8F393F"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Hopewell</w:t>
            </w:r>
          </w:p>
        </w:tc>
        <w:tc>
          <w:tcPr>
            <w:tcW w:w="753" w:type="pct"/>
            <w:vAlign w:val="center"/>
          </w:tcPr>
          <w:p w14:paraId="6D93D756"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9,255</w:t>
            </w:r>
          </w:p>
        </w:tc>
        <w:tc>
          <w:tcPr>
            <w:tcW w:w="753" w:type="pct"/>
            <w:vAlign w:val="center"/>
          </w:tcPr>
          <w:p w14:paraId="5BB8F9F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11.66%</w:t>
            </w:r>
          </w:p>
        </w:tc>
        <w:tc>
          <w:tcPr>
            <w:tcW w:w="753" w:type="pct"/>
            <w:vAlign w:val="center"/>
          </w:tcPr>
          <w:p w14:paraId="6259B4EB"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35.73%</w:t>
            </w:r>
          </w:p>
        </w:tc>
        <w:tc>
          <w:tcPr>
            <w:tcW w:w="753" w:type="pct"/>
            <w:vAlign w:val="center"/>
          </w:tcPr>
          <w:p w14:paraId="267E8CD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26.12%</w:t>
            </w:r>
          </w:p>
        </w:tc>
        <w:tc>
          <w:tcPr>
            <w:tcW w:w="751" w:type="pct"/>
            <w:vAlign w:val="center"/>
          </w:tcPr>
          <w:p w14:paraId="5FECE18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26.49%</w:t>
            </w:r>
          </w:p>
        </w:tc>
      </w:tr>
      <w:tr w:rsidR="004C3648" w:rsidRPr="00C864D1" w14:paraId="26BC39CD" w14:textId="77777777" w:rsidTr="00CA4198">
        <w:trPr>
          <w:trHeight w:val="432"/>
        </w:trPr>
        <w:tc>
          <w:tcPr>
            <w:tcW w:w="1238" w:type="pct"/>
            <w:tcBorders>
              <w:bottom w:val="double" w:sz="4" w:space="0" w:color="BFBFBF" w:themeColor="background1" w:themeShade="BF"/>
            </w:tcBorders>
            <w:vAlign w:val="center"/>
          </w:tcPr>
          <w:p w14:paraId="14A06587"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Petersburg</w:t>
            </w:r>
          </w:p>
        </w:tc>
        <w:tc>
          <w:tcPr>
            <w:tcW w:w="753" w:type="pct"/>
            <w:tcBorders>
              <w:bottom w:val="double" w:sz="4" w:space="0" w:color="BFBFBF" w:themeColor="background1" w:themeShade="BF"/>
            </w:tcBorders>
            <w:vAlign w:val="center"/>
          </w:tcPr>
          <w:p w14:paraId="6863BB04"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15,138</w:t>
            </w:r>
          </w:p>
        </w:tc>
        <w:tc>
          <w:tcPr>
            <w:tcW w:w="753" w:type="pct"/>
            <w:tcBorders>
              <w:bottom w:val="double" w:sz="4" w:space="0" w:color="BFBFBF" w:themeColor="background1" w:themeShade="BF"/>
            </w:tcBorders>
            <w:vAlign w:val="center"/>
          </w:tcPr>
          <w:p w14:paraId="550A7386"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14.84%</w:t>
            </w:r>
          </w:p>
        </w:tc>
        <w:tc>
          <w:tcPr>
            <w:tcW w:w="753" w:type="pct"/>
            <w:tcBorders>
              <w:bottom w:val="double" w:sz="4" w:space="0" w:color="BFBFBF" w:themeColor="background1" w:themeShade="BF"/>
            </w:tcBorders>
            <w:vAlign w:val="center"/>
          </w:tcPr>
          <w:p w14:paraId="0CFECB2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48.43%</w:t>
            </w:r>
          </w:p>
        </w:tc>
        <w:tc>
          <w:tcPr>
            <w:tcW w:w="753" w:type="pct"/>
            <w:tcBorders>
              <w:bottom w:val="double" w:sz="4" w:space="0" w:color="BFBFBF" w:themeColor="background1" w:themeShade="BF"/>
            </w:tcBorders>
            <w:vAlign w:val="center"/>
          </w:tcPr>
          <w:p w14:paraId="25C53B9D"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25.84%</w:t>
            </w:r>
          </w:p>
        </w:tc>
        <w:tc>
          <w:tcPr>
            <w:tcW w:w="751" w:type="pct"/>
            <w:tcBorders>
              <w:bottom w:val="double" w:sz="4" w:space="0" w:color="BFBFBF" w:themeColor="background1" w:themeShade="BF"/>
            </w:tcBorders>
            <w:vAlign w:val="center"/>
          </w:tcPr>
          <w:p w14:paraId="1A8CCDB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10.89%</w:t>
            </w:r>
          </w:p>
        </w:tc>
      </w:tr>
      <w:tr w:rsidR="004C3648" w:rsidRPr="00C864D1" w14:paraId="1258782A" w14:textId="77777777" w:rsidTr="00CA4198">
        <w:trPr>
          <w:cnfStyle w:val="000000100000" w:firstRow="0" w:lastRow="0" w:firstColumn="0" w:lastColumn="0" w:oddVBand="0" w:evenVBand="0" w:oddHBand="1" w:evenHBand="0" w:firstRowFirstColumn="0" w:firstRowLastColumn="0" w:lastRowFirstColumn="0" w:lastRowLastColumn="0"/>
          <w:trHeight w:val="432"/>
        </w:trPr>
        <w:tc>
          <w:tcPr>
            <w:tcW w:w="1238" w:type="pct"/>
            <w:tcBorders>
              <w:top w:val="double" w:sz="4" w:space="0" w:color="BFBFBF" w:themeColor="background1" w:themeShade="BF"/>
            </w:tcBorders>
            <w:shd w:val="clear" w:color="auto" w:fill="F2F2F2"/>
            <w:vAlign w:val="center"/>
          </w:tcPr>
          <w:p w14:paraId="1E0224EC" w14:textId="77777777" w:rsidR="004C3648" w:rsidRPr="00364C0F" w:rsidRDefault="004C3648" w:rsidP="00CA4198">
            <w:pPr>
              <w:pStyle w:val="NoSpacing"/>
              <w:rPr>
                <w:rFonts w:asciiTheme="majorHAnsi" w:hAnsiTheme="majorHAnsi" w:cs="Arial"/>
                <w:b/>
                <w:bCs/>
                <w:spacing w:val="-2"/>
                <w:sz w:val="20"/>
                <w:szCs w:val="20"/>
              </w:rPr>
            </w:pPr>
            <w:r w:rsidRPr="00364C0F">
              <w:rPr>
                <w:rFonts w:asciiTheme="majorHAnsi" w:hAnsiTheme="majorHAnsi"/>
                <w:b/>
                <w:bCs/>
                <w:sz w:val="20"/>
                <w:szCs w:val="20"/>
              </w:rPr>
              <w:t>TCAMPO</w:t>
            </w:r>
          </w:p>
        </w:tc>
        <w:tc>
          <w:tcPr>
            <w:tcW w:w="753" w:type="pct"/>
            <w:tcBorders>
              <w:top w:val="double" w:sz="4" w:space="0" w:color="BFBFBF" w:themeColor="background1" w:themeShade="BF"/>
            </w:tcBorders>
            <w:shd w:val="clear" w:color="auto" w:fill="F2F2F2"/>
            <w:vAlign w:val="center"/>
          </w:tcPr>
          <w:p w14:paraId="534F3518"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z w:val="20"/>
                <w:szCs w:val="20"/>
              </w:rPr>
              <w:t>62,553</w:t>
            </w:r>
          </w:p>
        </w:tc>
        <w:tc>
          <w:tcPr>
            <w:tcW w:w="753" w:type="pct"/>
            <w:tcBorders>
              <w:top w:val="double" w:sz="4" w:space="0" w:color="BFBFBF" w:themeColor="background1" w:themeShade="BF"/>
            </w:tcBorders>
            <w:shd w:val="clear" w:color="auto" w:fill="F2F2F2"/>
            <w:vAlign w:val="center"/>
          </w:tcPr>
          <w:p w14:paraId="20B4BEE0"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8.20%</w:t>
            </w:r>
          </w:p>
        </w:tc>
        <w:tc>
          <w:tcPr>
            <w:tcW w:w="753" w:type="pct"/>
            <w:tcBorders>
              <w:top w:val="double" w:sz="4" w:space="0" w:color="BFBFBF" w:themeColor="background1" w:themeShade="BF"/>
            </w:tcBorders>
            <w:shd w:val="clear" w:color="auto" w:fill="F2F2F2"/>
            <w:vAlign w:val="center"/>
          </w:tcPr>
          <w:p w14:paraId="510B5318"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31.87%</w:t>
            </w:r>
          </w:p>
        </w:tc>
        <w:tc>
          <w:tcPr>
            <w:tcW w:w="753" w:type="pct"/>
            <w:tcBorders>
              <w:top w:val="double" w:sz="4" w:space="0" w:color="BFBFBF" w:themeColor="background1" w:themeShade="BF"/>
            </w:tcBorders>
            <w:shd w:val="clear" w:color="auto" w:fill="F2F2F2"/>
            <w:vAlign w:val="center"/>
          </w:tcPr>
          <w:p w14:paraId="3A7F90A4"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32.49%</w:t>
            </w:r>
          </w:p>
        </w:tc>
        <w:tc>
          <w:tcPr>
            <w:tcW w:w="751" w:type="pct"/>
            <w:tcBorders>
              <w:top w:val="double" w:sz="4" w:space="0" w:color="BFBFBF" w:themeColor="background1" w:themeShade="BF"/>
            </w:tcBorders>
            <w:shd w:val="clear" w:color="auto" w:fill="F2F2F2"/>
            <w:vAlign w:val="center"/>
          </w:tcPr>
          <w:p w14:paraId="4ADCC403"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27.45%</w:t>
            </w:r>
          </w:p>
        </w:tc>
      </w:tr>
      <w:tr w:rsidR="004C3648" w:rsidRPr="00C864D1" w14:paraId="71D22AEC" w14:textId="77777777" w:rsidTr="00CA4198">
        <w:trPr>
          <w:cnfStyle w:val="010000000000" w:firstRow="0" w:lastRow="1" w:firstColumn="0" w:lastColumn="0" w:oddVBand="0" w:evenVBand="0" w:oddHBand="0" w:evenHBand="0" w:firstRowFirstColumn="0" w:firstRowLastColumn="0" w:lastRowFirstColumn="0" w:lastRowLastColumn="0"/>
          <w:trHeight w:val="432"/>
        </w:trPr>
        <w:tc>
          <w:tcPr>
            <w:tcW w:w="1238" w:type="pct"/>
            <w:tcBorders>
              <w:top w:val="single" w:sz="4" w:space="0" w:color="BFBFBF" w:themeColor="background1" w:themeShade="BF"/>
            </w:tcBorders>
            <w:shd w:val="clear" w:color="auto" w:fill="F2F2F2"/>
            <w:vAlign w:val="center"/>
          </w:tcPr>
          <w:p w14:paraId="6706AB43" w14:textId="77777777" w:rsidR="004C3648" w:rsidRPr="00C864D1" w:rsidRDefault="004C3648" w:rsidP="00CA4198">
            <w:pPr>
              <w:pStyle w:val="NoSpacing"/>
              <w:rPr>
                <w:rFonts w:asciiTheme="majorHAnsi" w:hAnsiTheme="majorHAnsi" w:cs="Arial"/>
                <w:spacing w:val="-2"/>
                <w:sz w:val="20"/>
                <w:szCs w:val="20"/>
              </w:rPr>
            </w:pPr>
            <w:r w:rsidRPr="00C864D1">
              <w:rPr>
                <w:rFonts w:asciiTheme="majorHAnsi" w:hAnsiTheme="majorHAnsi" w:cs="Arial"/>
                <w:spacing w:val="-2"/>
                <w:sz w:val="20"/>
                <w:szCs w:val="20"/>
              </w:rPr>
              <w:t>Virginia</w:t>
            </w:r>
          </w:p>
        </w:tc>
        <w:tc>
          <w:tcPr>
            <w:tcW w:w="753" w:type="pct"/>
            <w:tcBorders>
              <w:top w:val="single" w:sz="4" w:space="0" w:color="BFBFBF" w:themeColor="background1" w:themeShade="BF"/>
            </w:tcBorders>
            <w:shd w:val="clear" w:color="auto" w:fill="F2F2F2"/>
            <w:vAlign w:val="center"/>
          </w:tcPr>
          <w:p w14:paraId="05E5188A" w14:textId="77777777" w:rsidR="004C3648" w:rsidRPr="00C864D1" w:rsidRDefault="004C3648" w:rsidP="00CA4198">
            <w:pPr>
              <w:pStyle w:val="NoSpacing"/>
              <w:jc w:val="right"/>
              <w:rPr>
                <w:rFonts w:asciiTheme="majorHAnsi" w:hAnsiTheme="majorHAnsi" w:cs="Arial"/>
                <w:sz w:val="20"/>
                <w:szCs w:val="20"/>
              </w:rPr>
            </w:pPr>
            <w:r w:rsidRPr="00C864D1">
              <w:rPr>
                <w:rFonts w:asciiTheme="majorHAnsi" w:hAnsiTheme="majorHAnsi" w:cs="Arial"/>
                <w:spacing w:val="-2"/>
                <w:sz w:val="20"/>
                <w:szCs w:val="20"/>
              </w:rPr>
              <w:t>3,365,732</w:t>
            </w:r>
          </w:p>
        </w:tc>
        <w:tc>
          <w:tcPr>
            <w:tcW w:w="753" w:type="pct"/>
            <w:tcBorders>
              <w:top w:val="single" w:sz="4" w:space="0" w:color="BFBFBF" w:themeColor="background1" w:themeShade="BF"/>
            </w:tcBorders>
            <w:shd w:val="clear" w:color="auto" w:fill="F2F2F2"/>
            <w:vAlign w:val="center"/>
          </w:tcPr>
          <w:p w14:paraId="40EB0886"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6.10%</w:t>
            </w:r>
          </w:p>
        </w:tc>
        <w:tc>
          <w:tcPr>
            <w:tcW w:w="753" w:type="pct"/>
            <w:tcBorders>
              <w:top w:val="single" w:sz="4" w:space="0" w:color="BFBFBF" w:themeColor="background1" w:themeShade="BF"/>
            </w:tcBorders>
            <w:shd w:val="clear" w:color="auto" w:fill="F2F2F2"/>
            <w:vAlign w:val="center"/>
          </w:tcPr>
          <w:p w14:paraId="13B2E4D5"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31.13%</w:t>
            </w:r>
          </w:p>
        </w:tc>
        <w:tc>
          <w:tcPr>
            <w:tcW w:w="753" w:type="pct"/>
            <w:tcBorders>
              <w:top w:val="single" w:sz="4" w:space="0" w:color="BFBFBF" w:themeColor="background1" w:themeShade="BF"/>
            </w:tcBorders>
            <w:shd w:val="clear" w:color="auto" w:fill="F2F2F2"/>
            <w:vAlign w:val="center"/>
          </w:tcPr>
          <w:p w14:paraId="51018549"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37.25%</w:t>
            </w:r>
          </w:p>
        </w:tc>
        <w:tc>
          <w:tcPr>
            <w:tcW w:w="751" w:type="pct"/>
            <w:tcBorders>
              <w:top w:val="single" w:sz="4" w:space="0" w:color="BFBFBF" w:themeColor="background1" w:themeShade="BF"/>
            </w:tcBorders>
            <w:shd w:val="clear" w:color="auto" w:fill="F2F2F2"/>
            <w:vAlign w:val="center"/>
          </w:tcPr>
          <w:p w14:paraId="42632D6B" w14:textId="77777777" w:rsidR="004C3648" w:rsidRPr="00C864D1" w:rsidRDefault="004C3648" w:rsidP="00CA4198">
            <w:pPr>
              <w:pStyle w:val="NoSpacing"/>
              <w:jc w:val="right"/>
              <w:rPr>
                <w:rFonts w:asciiTheme="majorHAnsi" w:hAnsiTheme="majorHAnsi" w:cs="Arial"/>
                <w:spacing w:val="-2"/>
                <w:sz w:val="20"/>
                <w:szCs w:val="20"/>
              </w:rPr>
            </w:pPr>
            <w:r w:rsidRPr="00C864D1">
              <w:rPr>
                <w:rFonts w:asciiTheme="majorHAnsi" w:hAnsiTheme="majorHAnsi" w:cs="Arial"/>
                <w:sz w:val="20"/>
                <w:szCs w:val="20"/>
              </w:rPr>
              <w:t>25.52%</w:t>
            </w:r>
          </w:p>
        </w:tc>
      </w:tr>
    </w:tbl>
    <w:p w14:paraId="26C5A3C3" w14:textId="77777777" w:rsidR="004C3648" w:rsidRPr="00106C61" w:rsidRDefault="004C3648" w:rsidP="004C3648">
      <w:pPr>
        <w:pStyle w:val="NoSpacing"/>
        <w:rPr>
          <w:rFonts w:asciiTheme="minorHAnsi" w:hAnsiTheme="minorHAnsi"/>
          <w:noProof/>
          <w:sz w:val="18"/>
          <w:szCs w:val="18"/>
        </w:rPr>
      </w:pPr>
      <w:r w:rsidRPr="003135D3">
        <w:rPr>
          <w:rFonts w:asciiTheme="minorHAnsi" w:hAnsiTheme="minorHAnsi"/>
          <w:noProof/>
          <w:sz w:val="18"/>
          <w:szCs w:val="18"/>
        </w:rPr>
        <w:t>Source: 2024 ACS 5-Year</w:t>
      </w:r>
    </w:p>
    <w:p w14:paraId="0728256B" w14:textId="77777777" w:rsidR="004C3648" w:rsidRPr="00C864D1" w:rsidRDefault="004C3648" w:rsidP="004C3648">
      <w:pPr>
        <w:tabs>
          <w:tab w:val="left" w:pos="6516"/>
          <w:tab w:val="right" w:leader="dot" w:pos="14463"/>
        </w:tabs>
        <w:spacing w:before="240" w:after="240"/>
        <w:rPr>
          <w:spacing w:val="-2"/>
        </w:rPr>
      </w:pPr>
      <w:r>
        <w:rPr>
          <w:spacing w:val="-2"/>
        </w:rPr>
        <w:t xml:space="preserve">In addition to household vehicle availability, mode </w:t>
      </w:r>
      <w:r w:rsidRPr="00106C61">
        <w:rPr>
          <w:spacing w:val="-2"/>
        </w:rPr>
        <w:t>share</w:t>
      </w:r>
      <w:r>
        <w:rPr>
          <w:spacing w:val="-2"/>
        </w:rPr>
        <w:t xml:space="preserve"> </w:t>
      </w:r>
      <w:r w:rsidRPr="00106C61">
        <w:rPr>
          <w:spacing w:val="-2"/>
        </w:rPr>
        <w:t xml:space="preserve">is determined </w:t>
      </w:r>
      <w:r>
        <w:rPr>
          <w:spacing w:val="-2"/>
        </w:rPr>
        <w:t xml:space="preserve">by other factors including </w:t>
      </w:r>
      <w:r w:rsidRPr="00106C61">
        <w:rPr>
          <w:spacing w:val="-2"/>
        </w:rPr>
        <w:t>trip purpose</w:t>
      </w:r>
      <w:r>
        <w:rPr>
          <w:spacing w:val="-2"/>
        </w:rPr>
        <w:t xml:space="preserve"> and trip distance or travel time</w:t>
      </w:r>
      <w:r w:rsidRPr="00106C61">
        <w:rPr>
          <w:spacing w:val="-2"/>
        </w:rPr>
        <w:t>.</w:t>
      </w:r>
      <w:r>
        <w:rPr>
          <w:spacing w:val="-2"/>
        </w:rPr>
        <w:t xml:space="preserve"> </w:t>
      </w:r>
      <w:r w:rsidRPr="00C864D1">
        <w:rPr>
          <w:spacing w:val="-2"/>
        </w:rPr>
        <w:fldChar w:fldCharType="begin"/>
      </w:r>
      <w:r w:rsidRPr="00C864D1">
        <w:rPr>
          <w:spacing w:val="-2"/>
        </w:rPr>
        <w:instrText xml:space="preserve"> REF _Ref228971486 \h  \* MERGEFORMAT </w:instrText>
      </w:r>
      <w:r w:rsidRPr="00C864D1">
        <w:rPr>
          <w:spacing w:val="-2"/>
        </w:rPr>
      </w:r>
      <w:r w:rsidRPr="00C864D1">
        <w:rPr>
          <w:spacing w:val="-2"/>
        </w:rPr>
        <w:fldChar w:fldCharType="separate"/>
      </w:r>
      <w:r w:rsidRPr="00AD77E6">
        <w:rPr>
          <w:b/>
          <w:bCs/>
        </w:rPr>
        <w:t xml:space="preserve">Figure </w:t>
      </w:r>
      <w:r w:rsidRPr="00AD77E6">
        <w:rPr>
          <w:b/>
          <w:bCs/>
          <w:noProof/>
        </w:rPr>
        <w:t>17</w:t>
      </w:r>
      <w:r w:rsidRPr="00C864D1">
        <w:rPr>
          <w:spacing w:val="-2"/>
        </w:rPr>
        <w:fldChar w:fldCharType="end"/>
      </w:r>
      <w:r>
        <w:rPr>
          <w:spacing w:val="-2"/>
        </w:rPr>
        <w:t xml:space="preserve"> </w:t>
      </w:r>
      <w:r w:rsidRPr="007860C6">
        <w:rPr>
          <w:spacing w:val="-2"/>
        </w:rPr>
        <w:t xml:space="preserve">shows that the majority of workers </w:t>
      </w:r>
      <w:r>
        <w:rPr>
          <w:spacing w:val="-2"/>
        </w:rPr>
        <w:t xml:space="preserve">who are </w:t>
      </w:r>
      <w:r w:rsidRPr="007860C6">
        <w:rPr>
          <w:spacing w:val="-2"/>
        </w:rPr>
        <w:t xml:space="preserve">16 years and over </w:t>
      </w:r>
      <w:r>
        <w:rPr>
          <w:spacing w:val="-2"/>
        </w:rPr>
        <w:t xml:space="preserve">and </w:t>
      </w:r>
      <w:r w:rsidRPr="007860C6">
        <w:rPr>
          <w:spacing w:val="-2"/>
        </w:rPr>
        <w:t>who did not work from home</w:t>
      </w:r>
      <w:r>
        <w:rPr>
          <w:spacing w:val="-2"/>
        </w:rPr>
        <w:t xml:space="preserve"> </w:t>
      </w:r>
      <w:r w:rsidRPr="007860C6">
        <w:rPr>
          <w:spacing w:val="-2"/>
        </w:rPr>
        <w:t xml:space="preserve">drove alone to work across all commute durations, accounting for </w:t>
      </w:r>
      <w:r>
        <w:rPr>
          <w:spacing w:val="-2"/>
        </w:rPr>
        <w:t xml:space="preserve">82% of all commuters and more than 85% </w:t>
      </w:r>
      <w:r w:rsidRPr="007860C6">
        <w:rPr>
          <w:spacing w:val="-2"/>
        </w:rPr>
        <w:t xml:space="preserve"> of commuters in travel time</w:t>
      </w:r>
      <w:r>
        <w:rPr>
          <w:spacing w:val="-2"/>
        </w:rPr>
        <w:t>s between 15 minutes to one hour</w:t>
      </w:r>
      <w:r w:rsidRPr="00C864D1">
        <w:rPr>
          <w:spacing w:val="-2"/>
        </w:rPr>
        <w:t xml:space="preserve">. Walking was most prevalent among the shortest commutes, comprising nearly 24 percent of workers with travel times under 10 minutes, and declining sharply for commutes of 20 minutes or more. Carpooling represented a small but consistent share across all time intervals, ranging from approximately 7 to </w:t>
      </w:r>
      <w:r>
        <w:rPr>
          <w:spacing w:val="-2"/>
        </w:rPr>
        <w:t>11</w:t>
      </w:r>
      <w:r w:rsidRPr="00C864D1">
        <w:rPr>
          <w:spacing w:val="-2"/>
        </w:rPr>
        <w:t xml:space="preserve"> percent. Transit use was minimal overall but was most notable among the longest commuters, representing about 10 percent of workers with travel times of 60 minutes or more. </w:t>
      </w:r>
    </w:p>
    <w:p w14:paraId="2A30287A" w14:textId="77777777" w:rsidR="004C3648" w:rsidRPr="00BA1F82" w:rsidRDefault="004C3648" w:rsidP="004C3648">
      <w:pPr>
        <w:pStyle w:val="Caption"/>
      </w:pPr>
      <w:bookmarkStart w:id="38" w:name="_Ref228971486"/>
      <w:r w:rsidRPr="00BA1F82">
        <w:lastRenderedPageBreak/>
        <w:t xml:space="preserve">Figure </w:t>
      </w:r>
      <w:fldSimple w:instr=" SEQ Figure \* ARABIC ">
        <w:r>
          <w:rPr>
            <w:noProof/>
          </w:rPr>
          <w:t>17</w:t>
        </w:r>
      </w:fldSimple>
      <w:bookmarkEnd w:id="38"/>
      <w:r w:rsidRPr="00BA1F82">
        <w:t xml:space="preserve">. Mode Share by Travel Time, TCAMPO Region </w:t>
      </w:r>
    </w:p>
    <w:p w14:paraId="148DA96A" w14:textId="77777777" w:rsidR="004C3648" w:rsidRPr="00784B0B" w:rsidRDefault="004C3648" w:rsidP="004C3648">
      <w:pPr>
        <w:pStyle w:val="NoSpacing"/>
        <w:rPr>
          <w:rFonts w:asciiTheme="majorHAnsi" w:hAnsiTheme="majorHAnsi"/>
          <w:spacing w:val="-2"/>
          <w:sz w:val="20"/>
          <w:szCs w:val="20"/>
          <w:highlight w:val="yellow"/>
        </w:rPr>
      </w:pPr>
      <w:r>
        <w:rPr>
          <w:noProof/>
          <w14:ligatures w14:val="standardContextual"/>
        </w:rPr>
        <w:drawing>
          <wp:inline distT="0" distB="0" distL="0" distR="0" wp14:anchorId="38DC3BBB" wp14:editId="73EC5750">
            <wp:extent cx="5943600" cy="2743200"/>
            <wp:effectExtent l="0" t="0" r="0" b="0"/>
            <wp:docPr id="49949425" name="Chart 1">
              <a:extLst xmlns:a="http://schemas.openxmlformats.org/drawingml/2006/main">
                <a:ext uri="{FF2B5EF4-FFF2-40B4-BE49-F238E27FC236}">
                  <a16:creationId xmlns:a16="http://schemas.microsoft.com/office/drawing/2014/main" id="{2D760ECF-2B42-B6EA-5CD2-43CBC8898F8C}"/>
                </a:ext>
              </a:extLst>
            </wp:docPr>
            <wp:cNvGraphicFramePr/>
            <a:graphic xmlns:a="http://schemas.openxmlformats.org/drawingml/2006/main">
              <a:graphicData uri="http://schemas.openxmlformats.org/drawingml/2006/chart">
                <c:chart xmlns:c="http://schemas.openxmlformats.org/drawingml/2006/chart" r:id="rId35"/>
              </a:graphicData>
            </a:graphic>
          </wp:inline>
        </w:drawing>
      </w:r>
      <w:r w:rsidRPr="00784B0B">
        <w:rPr>
          <w:rFonts w:asciiTheme="majorHAnsi" w:hAnsiTheme="majorHAnsi"/>
          <w:spacing w:val="-2"/>
          <w:sz w:val="20"/>
          <w:szCs w:val="20"/>
          <w:highlight w:val="yellow"/>
        </w:rPr>
        <w:br/>
      </w:r>
      <w:r w:rsidRPr="00784B0B">
        <w:rPr>
          <w:rFonts w:asciiTheme="majorHAnsi" w:hAnsiTheme="majorHAnsi"/>
          <w:sz w:val="20"/>
          <w:szCs w:val="20"/>
        </w:rPr>
        <w:t>Source: 2024 ACS 5-Year Estimates</w:t>
      </w:r>
    </w:p>
    <w:p w14:paraId="19A8F9DD" w14:textId="77777777" w:rsidR="004C3648" w:rsidRPr="00C864D1" w:rsidRDefault="004C3648" w:rsidP="004C3648">
      <w:pPr>
        <w:tabs>
          <w:tab w:val="left" w:pos="6516"/>
          <w:tab w:val="right" w:leader="dot" w:pos="14463"/>
        </w:tabs>
        <w:spacing w:before="240" w:after="240"/>
        <w:rPr>
          <w:spacing w:val="-2"/>
          <w:highlight w:val="yellow"/>
        </w:rPr>
      </w:pPr>
      <w:r w:rsidRPr="00C864D1">
        <w:rPr>
          <w:spacing w:val="-2"/>
          <w:highlight w:val="yellow"/>
        </w:rPr>
        <w:t>Changes in Traffic Congestion (2020-2025)</w:t>
      </w:r>
      <w:r>
        <w:rPr>
          <w:spacing w:val="-2"/>
          <w:highlight w:val="yellow"/>
        </w:rPr>
        <w:t xml:space="preserve"> - </w:t>
      </w:r>
      <w:commentRangeStart w:id="39"/>
      <w:r>
        <w:rPr>
          <w:spacing w:val="-2"/>
          <w:highlight w:val="yellow"/>
        </w:rPr>
        <w:t>TBD</w:t>
      </w:r>
      <w:commentRangeEnd w:id="39"/>
      <w:r w:rsidRPr="00C864D1">
        <w:rPr>
          <w:rStyle w:val="CommentReference"/>
          <w:spacing w:val="-2"/>
          <w:sz w:val="22"/>
          <w:szCs w:val="22"/>
          <w:highlight w:val="yellow"/>
        </w:rPr>
        <w:commentReference w:id="39"/>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