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19" w:name="run-and-deploy-your-ai-studio-app"/>
    <w:p>
      <w:pPr>
        <w:pStyle w:val="Heading1"/>
      </w:pPr>
      <w:r>
        <w:t xml:space="preserve">Run and deploy your AI Studio app</w:t>
      </w:r>
    </w:p>
    <w:p>
      <w:pPr>
        <w:pStyle w:val="FirstParagraph"/>
      </w:pPr>
      <w:r>
        <w:t xml:space="preserve">This contains everything you need to run your app locally.</w:t>
      </w:r>
    </w:p>
    <w:p>
      <w:pPr>
        <w:pStyle w:val="BodyText"/>
      </w:pPr>
      <w:r>
        <w:t xml:space="preserve">View your app in AI Studio: https://ai.studio/apps/drive/1wY8bdE-e2b7sontNgOHzUsWNcMG4ed3a</w:t>
      </w:r>
    </w:p>
    <w:bookmarkStart w:id="10" w:name="run-locally"/>
    <w:p>
      <w:pPr>
        <w:pStyle w:val="Heading2"/>
      </w:pPr>
      <w:r>
        <w:t xml:space="preserve">Run Locally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Node.js</w:t>
      </w:r>
    </w:p>
    <w:p>
      <w:pPr>
        <w:pStyle w:val="Compact"/>
        <w:numPr>
          <w:ilvl w:val="0"/>
          <w:numId w:val="1001"/>
        </w:numPr>
      </w:pPr>
      <w:r>
        <w:t xml:space="preserve">Install dependencies:</w:t>
      </w:r>
      <w:r>
        <w:t xml:space="preserve"> </w:t>
      </w:r>
      <w:r>
        <w:rPr>
          <w:rStyle w:val="VerbatimChar"/>
        </w:rPr>
        <w:t xml:space="preserve">npm install</w:t>
      </w:r>
    </w:p>
    <w:p>
      <w:pPr>
        <w:pStyle w:val="Compact"/>
        <w:numPr>
          <w:ilvl w:val="0"/>
          <w:numId w:val="1001"/>
        </w:numPr>
      </w:pPr>
      <w:r>
        <w:t xml:space="preserve">Set AI keys in</w:t>
      </w:r>
      <w:r>
        <w:t xml:space="preserve"> </w:t>
      </w:r>
      <w:hyperlink r:id="rId9">
        <w:r>
          <w:rPr>
            <w:rStyle w:val="Hyperlink"/>
          </w:rPr>
          <w:t xml:space="preserve">.env.local</w:t>
        </w:r>
      </w:hyperlink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KIMI_API_KEY</w:t>
      </w:r>
      <w:r>
        <w:t xml:space="preserve"> </w:t>
      </w:r>
      <w:r>
        <w:t xml:space="preserve">(primary)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GEMINI_API_KEY</w:t>
      </w:r>
      <w:r>
        <w:t xml:space="preserve"> </w:t>
      </w:r>
      <w:r>
        <w:t xml:space="preserve">(fallback, auto-switch when Kimi quota/balance insufficient)</w:t>
      </w:r>
    </w:p>
    <w:p>
      <w:pPr>
        <w:pStyle w:val="Compact"/>
        <w:numPr>
          <w:ilvl w:val="0"/>
          <w:numId w:val="1001"/>
        </w:numPr>
      </w:pPr>
      <w:r>
        <w:t xml:space="preserve">Start backend (Kimi server proxy):</w:t>
      </w:r>
      <w:r>
        <w:t xml:space="preserve"> </w:t>
      </w:r>
      <w:r>
        <w:rPr>
          <w:rStyle w:val="VerbatimChar"/>
        </w:rPr>
        <w:t xml:space="preserve">npm start</w:t>
      </w:r>
    </w:p>
    <w:p>
      <w:pPr>
        <w:pStyle w:val="Compact"/>
        <w:numPr>
          <w:ilvl w:val="0"/>
          <w:numId w:val="1001"/>
        </w:numPr>
      </w:pPr>
      <w:r>
        <w:t xml:space="preserve">Run the frontend:</w:t>
      </w:r>
      <w:r>
        <w:t xml:space="preserve"> </w:t>
      </w:r>
      <w:r>
        <w:rPr>
          <w:rStyle w:val="VerbatimChar"/>
        </w:rPr>
        <w:t xml:space="preserve">npm run dev</w:t>
      </w:r>
    </w:p>
    <w:bookmarkEnd w:id="10"/>
    <w:bookmarkStart w:id="11" w:name="stable-dev-startup-auto-restart-backend"/>
    <w:p>
      <w:pPr>
        <w:pStyle w:val="Heading2"/>
      </w:pPr>
      <w:r>
        <w:t xml:space="preserve">Stable Dev Startup (Auto-Restart Backend)</w:t>
      </w:r>
    </w:p>
    <w:p>
      <w:pPr>
        <w:pStyle w:val="Compact"/>
        <w:numPr>
          <w:ilvl w:val="0"/>
          <w:numId w:val="1003"/>
        </w:numPr>
      </w:pPr>
      <w:r>
        <w:t xml:space="preserve">Start full stack (backend auto-restart + frontend):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npm run dev</w:t>
      </w:r>
    </w:p>
    <w:p>
      <w:pPr>
        <w:pStyle w:val="Compact"/>
        <w:numPr>
          <w:ilvl w:val="0"/>
          <w:numId w:val="1003"/>
        </w:numPr>
      </w:pPr>
      <w:r>
        <w:t xml:space="preserve">Start only backend with auto-restart: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npm run start:guard</w:t>
      </w:r>
    </w:p>
    <w:p>
      <w:pPr>
        <w:pStyle w:val="Compact"/>
        <w:numPr>
          <w:ilvl w:val="0"/>
          <w:numId w:val="1003"/>
        </w:numPr>
      </w:pPr>
      <w:r>
        <w:t xml:space="preserve">Quick health check: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npm run health:stack</w:t>
      </w:r>
    </w:p>
    <w:bookmarkEnd w:id="11"/>
    <w:bookmarkStart w:id="12" w:name="intel-radar-timeout-guard"/>
    <w:p>
      <w:pPr>
        <w:pStyle w:val="Heading2"/>
      </w:pPr>
      <w:r>
        <w:t xml:space="preserve">Intel Radar Timeout Guard</w:t>
      </w:r>
    </w:p>
    <w:p>
      <w:pPr>
        <w:pStyle w:val="FirstParagraph"/>
      </w:pPr>
      <w:r>
        <w:t xml:space="preserve">To avoid</w:t>
      </w:r>
      <w:r>
        <w:t xml:space="preserve"> </w:t>
      </w:r>
      <w:r>
        <w:rPr>
          <w:rFonts w:hint="eastAsia"/>
        </w:rPr>
        <w:t xml:space="preserve">“抓取今日情报”</w:t>
      </w:r>
      <w:r>
        <w:t xml:space="preserve"> </w:t>
      </w:r>
      <w:r>
        <w:t xml:space="preserve">long blocking:</w:t>
      </w:r>
    </w:p>
    <w:p>
      <w:pPr>
        <w:pStyle w:val="SourceCode"/>
      </w:pPr>
      <w:r>
        <w:rPr>
          <w:rStyle w:val="CommentTok"/>
        </w:rPr>
        <w:t xml:space="preserve"># backend timeout for /api/intel/fetch</w:t>
      </w:r>
      <w:r>
        <w:br/>
      </w:r>
      <w:r>
        <w:rPr>
          <w:rStyle w:val="VariableTok"/>
        </w:rPr>
        <w:t xml:space="preserve">INTEL_FETCH_TIMEOUT_MS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45000</w:t>
      </w:r>
      <w:r>
        <w:br/>
      </w:r>
      <w:r>
        <w:rPr>
          <w:rStyle w:val="CommentTok"/>
        </w:rPr>
        <w:t xml:space="preserve"># frontend timeout for fetch request</w:t>
      </w:r>
      <w:r>
        <w:br/>
      </w:r>
      <w:r>
        <w:rPr>
          <w:rStyle w:val="VariableTok"/>
        </w:rPr>
        <w:t xml:space="preserve">VITE_INTEL_FETCH_TIMEOUT_MS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45000</w:t>
      </w:r>
    </w:p>
    <w:p>
      <w:pPr>
        <w:pStyle w:val="FirstParagraph"/>
      </w:pPr>
      <w:r>
        <w:t xml:space="preserve">When timeout happens, backend will return cached intel signals if available.</w:t>
      </w:r>
    </w:p>
    <w:bookmarkEnd w:id="12"/>
    <w:bookmarkStart w:id="13" w:name="intel-radar-category-quota-结构稳定防偏科"/>
    <w:p>
      <w:pPr>
        <w:pStyle w:val="Heading2"/>
      </w:pPr>
      <w:r>
        <w:t xml:space="preserve">Intel Radar Category Quota </w:t>
      </w:r>
      <w:r>
        <w:rPr>
          <w:rFonts w:hint="eastAsia"/>
        </w:rPr>
        <w:t xml:space="preserve">(结构稳定防偏科)</w:t>
      </w:r>
    </w:p>
    <w:p>
      <w:pPr>
        <w:pStyle w:val="FirstParagraph"/>
      </w:pPr>
      <w:r>
        <w:rPr>
          <w:rFonts w:hint="eastAsia"/>
        </w:rPr>
        <w:t xml:space="preserve">可选后端环境变量（默认值见下）：</w:t>
      </w:r>
    </w:p>
    <w:p>
      <w:pPr>
        <w:pStyle w:val="SourceCode"/>
      </w:pPr>
      <w:r>
        <w:rPr>
          <w:rStyle w:val="CommentTok"/>
        </w:rPr>
        <w:t xml:space="preserve"># 每次抓取的最低类别配额（总和超过 limit 时会按顺序截断）</w:t>
      </w:r>
      <w:r>
        <w:br/>
      </w:r>
      <w:r>
        <w:rPr>
          <w:rStyle w:val="VariableTok"/>
        </w:rPr>
        <w:t xml:space="preserve">INTEL_QUOTA_POLICY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rPr>
          <w:rStyle w:val="VariableTok"/>
        </w:rPr>
        <w:t xml:space="preserve">INTEL_QUOTA_INDUSTRY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INTEL_QUOTA_COMPANY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INTEL_QUOTA_TENDER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说明：后端会优先保证</w:t>
      </w:r>
      <w:r>
        <w:t xml:space="preserve"> </w:t>
      </w:r>
      <w:r>
        <w:rPr>
          <w:rStyle w:val="VerbatimChar"/>
          <w:rFonts w:hint="eastAsia"/>
        </w:rPr>
        <w:t xml:space="preserve">政策/行业/企业/招采</w:t>
      </w:r>
      <w:r>
        <w:t xml:space="preserve"> </w:t>
      </w:r>
      <w:r>
        <w:rPr>
          <w:rFonts w:hint="eastAsia"/>
        </w:rPr>
        <w:t xml:space="preserve">的结构覆盖，再用其余高分情报补齐到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。</w:t>
      </w:r>
    </w:p>
    <w:bookmarkEnd w:id="13"/>
    <w:bookmarkStart w:id="14" w:name="intel-radar-freshness-时效过滤"/>
    <w:p>
      <w:pPr>
        <w:pStyle w:val="Heading2"/>
      </w:pPr>
      <w:r>
        <w:t xml:space="preserve">Intel Radar Freshness </w:t>
      </w:r>
      <w:r>
        <w:rPr>
          <w:rFonts w:hint="eastAsia"/>
        </w:rPr>
        <w:t xml:space="preserve">(时效过滤)</w:t>
      </w:r>
    </w:p>
    <w:p>
      <w:pPr>
        <w:pStyle w:val="FirstParagraph"/>
      </w:pPr>
      <w:r>
        <w:rPr>
          <w:rFonts w:hint="eastAsia"/>
        </w:rPr>
        <w:t xml:space="preserve">可选后端环境变量（默认值）：</w:t>
      </w:r>
    </w:p>
    <w:p>
      <w:pPr>
        <w:pStyle w:val="SourceCode"/>
      </w:pPr>
      <w:r>
        <w:rPr>
          <w:rStyle w:val="CommentTok"/>
        </w:rPr>
        <w:t xml:space="preserve"># 政策/招采/标准：近90天</w:t>
      </w:r>
      <w:r>
        <w:br/>
      </w:r>
      <w:r>
        <w:rPr>
          <w:rStyle w:val="VariableTok"/>
        </w:rPr>
        <w:t xml:space="preserve">INTEL_RECENCY_POLICY_DAYS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  <w:r>
        <w:br/>
      </w:r>
      <w:r>
        <w:rPr>
          <w:rStyle w:val="VariableTok"/>
        </w:rPr>
        <w:t xml:space="preserve">INTEL_RECENCY_TENDER_DAYS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  <w:r>
        <w:br/>
      </w:r>
      <w:r>
        <w:rPr>
          <w:rStyle w:val="VariableTok"/>
        </w:rPr>
        <w:t xml:space="preserve">INTEL_RECENCY_STANDARD_DAYS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</w:t>
      </w:r>
      <w:r>
        <w:br/>
      </w:r>
      <w:r>
        <w:br/>
      </w:r>
      <w:r>
        <w:rPr>
          <w:rStyle w:val="CommentTok"/>
        </w:rPr>
        <w:t xml:space="preserve"># 行业/企业/活动：近45天</w:t>
      </w:r>
      <w:r>
        <w:br/>
      </w:r>
      <w:r>
        <w:rPr>
          <w:rStyle w:val="VariableTok"/>
        </w:rPr>
        <w:t xml:space="preserve">INTEL_RECENCY_INDUSTRY_DAYS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</w:t>
      </w:r>
      <w:r>
        <w:br/>
      </w:r>
      <w:r>
        <w:rPr>
          <w:rStyle w:val="VariableTok"/>
        </w:rPr>
        <w:t xml:space="preserve">INTEL_RECENCY_COMPANY_DAYS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</w:t>
      </w:r>
      <w:r>
        <w:br/>
      </w:r>
      <w:r>
        <w:rPr>
          <w:rStyle w:val="VariableTok"/>
        </w:rPr>
        <w:t xml:space="preserve">INTEL_RECENCY_EVENT_DAYS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</w:t>
      </w:r>
      <w:r>
        <w:br/>
      </w:r>
      <w:r>
        <w:br/>
      </w:r>
      <w:r>
        <w:rPr>
          <w:rStyle w:val="CommentTok"/>
        </w:rPr>
        <w:t xml:space="preserve"># 无发布日期情报补位的最大允许时效（天）</w:t>
      </w:r>
      <w:r>
        <w:br/>
      </w:r>
      <w:r>
        <w:rPr>
          <w:rStyle w:val="VariableTok"/>
        </w:rPr>
        <w:t xml:space="preserve">INTEL_UNDATED_MAX_AGE_DAYS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</w:t>
      </w:r>
    </w:p>
    <w:p>
      <w:pPr>
        <w:pStyle w:val="FirstParagraph"/>
      </w:pPr>
      <w:r>
        <w:rPr>
          <w:rFonts w:hint="eastAsia"/>
        </w:rPr>
        <w:t xml:space="preserve">说明：超出时效或无法识别发布日期的情报会被过滤，不再进入主列表。</w:t>
      </w:r>
    </w:p>
    <w:bookmarkEnd w:id="14"/>
    <w:bookmarkStart w:id="18" w:name="state-persistence-postgresql-dual-write"/>
    <w:p>
      <w:pPr>
        <w:pStyle w:val="Heading2"/>
      </w:pPr>
      <w:r>
        <w:t xml:space="preserve">State Persistence (PostgreSQL + Dual-write)</w:t>
      </w:r>
    </w:p>
    <w:p>
      <w:pPr>
        <w:pStyle w:val="FirstParagraph"/>
      </w:pPr>
      <w:r>
        <w:t xml:space="preserve">The app now supports a dual-write state sync path:</w:t>
      </w:r>
      <w:r>
        <w:t xml:space="preserve"> </w:t>
      </w:r>
      <w:r>
        <w:t xml:space="preserve">- Frontend still writes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(existing behavior)</w:t>
      </w:r>
      <w:r>
        <w:t xml:space="preserve"> </w:t>
      </w:r>
      <w:r>
        <w:t xml:space="preserve">- Frontend can also sync snapshots to backend (</w:t>
      </w:r>
      <w:r>
        <w:rPr>
          <w:rStyle w:val="VerbatimChar"/>
        </w:rPr>
        <w:t xml:space="preserve">/api/state/sync</w:t>
      </w:r>
      <w:r>
        <w:t xml:space="preserve">)</w:t>
      </w:r>
      <w:r>
        <w:t xml:space="preserve"> </w:t>
      </w:r>
      <w:r>
        <w:t xml:space="preserve">- Backend stores snapshots in PostgreSQL when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configured</w:t>
      </w:r>
      <w:r>
        <w:t xml:space="preserve"> </w:t>
      </w:r>
      <w:r>
        <w:t xml:space="preserve">- Backend falls back to</w:t>
      </w:r>
      <w:r>
        <w:t xml:space="preserve"> </w:t>
      </w:r>
      <w:r>
        <w:rPr>
          <w:rStyle w:val="VerbatimChar"/>
        </w:rPr>
        <w:t xml:space="preserve">server/state_store.json</w:t>
      </w:r>
      <w:r>
        <w:t xml:space="preserve"> </w:t>
      </w:r>
      <w:r>
        <w:t xml:space="preserve">if PostgreSQL is unavailable</w:t>
      </w:r>
    </w:p>
    <w:bookmarkStart w:id="15" w:name="backend-env"/>
    <w:p>
      <w:pPr>
        <w:pStyle w:val="Heading3"/>
      </w:pPr>
      <w:r>
        <w:t xml:space="preserve">Backend env</w:t>
      </w:r>
    </w:p>
    <w:p>
      <w:pPr>
        <w:pStyle w:val="FirstParagraph"/>
      </w:pPr>
      <w:r>
        <w:t xml:space="preserve">Set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Required for Kimi</w:t>
      </w:r>
      <w:r>
        <w:br/>
      </w:r>
      <w:r>
        <w:rPr>
          <w:rStyle w:val="VariableTok"/>
        </w:rPr>
        <w:t xml:space="preserve">KIMI_API_KEY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your_key</w:t>
      </w:r>
      <w:r>
        <w:br/>
      </w:r>
      <w:r>
        <w:rPr>
          <w:rStyle w:val="CommentTok"/>
        </w:rPr>
        <w:t xml:space="preserve"># Optional: Kimi endpoint/model</w:t>
      </w:r>
      <w:r>
        <w:br/>
      </w:r>
      <w:r>
        <w:rPr>
          <w:rStyle w:val="VariableTok"/>
        </w:rPr>
        <w:t xml:space="preserve">KIMI_BASE_URL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https://api.moonshot.cn/v1</w:t>
      </w:r>
      <w:r>
        <w:br/>
      </w:r>
      <w:r>
        <w:rPr>
          <w:rStyle w:val="VariableTok"/>
        </w:rPr>
        <w:t xml:space="preserve">KIMI_MODEL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kimi-k2.5</w:t>
      </w:r>
      <w:r>
        <w:br/>
      </w:r>
      <w:r>
        <w:br/>
      </w:r>
      <w:r>
        <w:rPr>
          <w:rStyle w:val="CommentTok"/>
        </w:rPr>
        <w:t xml:space="preserve"># Optional but recommended: Gemini fallback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your_gemini_key</w:t>
      </w:r>
      <w:r>
        <w:br/>
      </w:r>
      <w:r>
        <w:rPr>
          <w:rStyle w:val="CommentTok"/>
        </w:rPr>
        <w:t xml:space="preserve"># Preferred fallback (can be adjusted to available model in your account)</w:t>
      </w:r>
      <w:r>
        <w:br/>
      </w:r>
      <w:r>
        <w:rPr>
          <w:rStyle w:val="VariableTok"/>
        </w:rPr>
        <w:t xml:space="preserve">GEMINI_MODEL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gemini-3-flash</w:t>
      </w:r>
      <w:r>
        <w:br/>
      </w:r>
      <w:r>
        <w:rPr>
          <w:rStyle w:val="CommentTok"/>
        </w:rPr>
        <w:t xml:space="preserve"># Secondary fallback inside Gemini chain</w:t>
      </w:r>
      <w:r>
        <w:br/>
      </w:r>
      <w:r>
        <w:rPr>
          <w:rStyle w:val="VariableTok"/>
        </w:rPr>
        <w:t xml:space="preserve">GEMINI_FALLBACK_MODEL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gemini-2.5-flash</w:t>
      </w:r>
      <w:r>
        <w:br/>
      </w:r>
      <w:r>
        <w:br/>
      </w:r>
      <w:r>
        <w:rPr>
          <w:rStyle w:val="CommentTok"/>
        </w:rPr>
        <w:t xml:space="preserve"># Optional: enable PostgreSQL state store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postgres://user:password@host:5432/dbname</w:t>
      </w:r>
      <w:r>
        <w:br/>
      </w:r>
      <w:r>
        <w:rPr>
          <w:rStyle w:val="CommentTok"/>
        </w:rPr>
        <w:t xml:space="preserve"># Optional when your provider requires SSL</w:t>
      </w:r>
      <w:r>
        <w:br/>
      </w:r>
      <w:r>
        <w:rPr>
          <w:rStyle w:val="VariableTok"/>
        </w:rPr>
        <w:t xml:space="preserve">PGSSLMODE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require</w:t>
      </w:r>
    </w:p>
    <w:bookmarkEnd w:id="15"/>
    <w:bookmarkStart w:id="16" w:name="frontend-env-gray-rollout"/>
    <w:p>
      <w:pPr>
        <w:pStyle w:val="Heading3"/>
      </w:pPr>
      <w:r>
        <w:t xml:space="preserve">Frontend env (gray rollout)</w:t>
      </w:r>
    </w:p>
    <w:p>
      <w:pPr>
        <w:pStyle w:val="FirstParagraph"/>
      </w:pPr>
      <w:r>
        <w:t xml:space="preserve">Set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Optional: frontend direct fallback endpoint/model</w:t>
      </w:r>
      <w:r>
        <w:br/>
      </w:r>
      <w:r>
        <w:rPr>
          <w:rStyle w:val="VariableTok"/>
        </w:rPr>
        <w:t xml:space="preserve">VITE_KIMI_BASE_URL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https://api.moonshot.cn/v1</w:t>
      </w:r>
      <w:r>
        <w:br/>
      </w:r>
      <w:r>
        <w:rPr>
          <w:rStyle w:val="VariableTok"/>
        </w:rPr>
        <w:t xml:space="preserve">VITE_KIMI_MODEL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kimi-k2.5</w:t>
      </w:r>
      <w:r>
        <w:br/>
      </w:r>
      <w:r>
        <w:rPr>
          <w:rStyle w:val="CommentTok"/>
        </w:rPr>
        <w:t xml:space="preserve"># Optional: AI backend request timeouts (ms)</w:t>
      </w:r>
      <w:r>
        <w:br/>
      </w:r>
      <w:r>
        <w:rPr>
          <w:rStyle w:val="VariableTok"/>
        </w:rPr>
        <w:t xml:space="preserve">VITE_AI_CHAT_TIMEOUT_MS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30000</w:t>
      </w:r>
      <w:r>
        <w:br/>
      </w:r>
      <w:r>
        <w:rPr>
          <w:rStyle w:val="VariableTok"/>
        </w:rPr>
        <w:t xml:space="preserve">VITE_AI_GENERATE_TIMEOUT_MS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45000</w:t>
      </w:r>
      <w:r>
        <w:br/>
      </w:r>
      <w:r>
        <w:rPr>
          <w:rStyle w:val="VariableTok"/>
        </w:rPr>
        <w:t xml:space="preserve">VITE_AI_DEFAULT_TIMEOUT_MS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20000</w:t>
      </w:r>
      <w:r>
        <w:br/>
      </w:r>
      <w:r>
        <w:rPr>
          <w:rStyle w:val="CommentTok"/>
        </w:rPr>
        <w:t xml:space="preserve"># default true in current implementation</w:t>
      </w:r>
      <w:r>
        <w:br/>
      </w:r>
      <w:r>
        <w:rPr>
          <w:rStyle w:val="VariableTok"/>
        </w:rPr>
        <w:t xml:space="preserve">VITE_STATE_SYNC_ENABLED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mmentTok"/>
        </w:rPr>
        <w:t xml:space="preserve"># canary users read backend first, fallback to localStorage on failure</w:t>
      </w:r>
      <w:r>
        <w:br/>
      </w:r>
      <w:r>
        <w:rPr>
          <w:rStyle w:val="VariableTok"/>
        </w:rPr>
        <w:t xml:space="preserve">VITE_STATE_SYNC_READ_ENABLED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mmentTok"/>
        </w:rPr>
        <w:t xml:space="preserve"># optional debounce (ms)</w:t>
      </w:r>
      <w:r>
        <w:br/>
      </w:r>
      <w:r>
        <w:rPr>
          <w:rStyle w:val="VariableTok"/>
        </w:rPr>
        <w:t xml:space="preserve">VITE_STATE_SYNC_DEBOUNCE_MS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1200</w:t>
      </w:r>
      <w:r>
        <w:br/>
      </w:r>
      <w:r>
        <w:rPr>
          <w:rStyle w:val="CommentTok"/>
        </w:rPr>
        <w:t xml:space="preserve"># optional canary users: only these user IDs will sync</w:t>
      </w:r>
      <w:r>
        <w:br/>
      </w:r>
      <w:r>
        <w:rPr>
          <w:rStyle w:val="VariableTok"/>
        </w:rPr>
        <w:t xml:space="preserve">VITE_STATE_SYNC_CANARY_USERS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U-BOSS,U-CONSULTANT-1,U-FINANCE-1</w:t>
      </w:r>
    </w:p>
    <w:p>
      <w:pPr>
        <w:pStyle w:val="FirstParagraph"/>
      </w:pPr>
      <w:r>
        <w:t xml:space="preserve">Read cutover note: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VITE_STATE_SYNC_READ_ENABLED=1</w:t>
      </w:r>
      <w:r>
        <w:t xml:space="preserve"> </w:t>
      </w:r>
      <w:r>
        <w:t xml:space="preserve">+ canary users configured:</w:t>
      </w:r>
      <w:r>
        <w:t xml:space="preserve"> </w:t>
      </w:r>
      <w:r>
        <w:t xml:space="preserve">- app boot reads backend snapshot first</w:t>
      </w:r>
      <w:r>
        <w:t xml:space="preserve"> </w:t>
      </w:r>
      <w:r>
        <w:t xml:space="preserve">- if backend read fails/empty, app keeps localStorage state (fallback)</w:t>
      </w:r>
      <w:r>
        <w:t xml:space="preserve"> </w:t>
      </w:r>
      <w:r>
        <w:t xml:space="preserve">- non-canary users remain local-first.</w:t>
      </w:r>
    </w:p>
    <w:bookmarkEnd w:id="16"/>
    <w:bookmarkStart w:id="17" w:name="health-checks"/>
    <w:p>
      <w:pPr>
        <w:pStyle w:val="Heading3"/>
      </w:pPr>
      <w:r>
        <w:t xml:space="preserve">Health checks</w:t>
      </w:r>
    </w:p>
    <w:p>
      <w:pPr>
        <w:pStyle w:val="Compact"/>
        <w:numPr>
          <w:ilvl w:val="0"/>
          <w:numId w:val="1007"/>
        </w:numPr>
      </w:pPr>
      <w:r>
        <w:t xml:space="preserve">AI health:</w:t>
      </w:r>
      <w:r>
        <w:t xml:space="preserve"> </w:t>
      </w:r>
      <w:r>
        <w:rPr>
          <w:rStyle w:val="VerbatimChar"/>
        </w:rPr>
        <w:t xml:space="preserve">GET /api/ai/health</w:t>
      </w:r>
    </w:p>
    <w:p>
      <w:pPr>
        <w:pStyle w:val="Compact"/>
        <w:numPr>
          <w:ilvl w:val="0"/>
          <w:numId w:val="1007"/>
        </w:numPr>
      </w:pPr>
      <w:r>
        <w:t xml:space="preserve">State store health:</w:t>
      </w:r>
      <w:r>
        <w:t xml:space="preserve"> </w:t>
      </w:r>
      <w:r>
        <w:rPr>
          <w:rStyle w:val="VerbatimChar"/>
        </w:rPr>
        <w:t xml:space="preserve">GET /api/state/health</w:t>
      </w:r>
    </w:p>
    <w:p>
      <w:pPr>
        <w:pStyle w:val="Compact"/>
        <w:numPr>
          <w:ilvl w:val="0"/>
          <w:numId w:val="1007"/>
        </w:numPr>
      </w:pPr>
      <w:r>
        <w:t xml:space="preserve">Read synced datasets:</w:t>
      </w:r>
      <w:r>
        <w:t xml:space="preserve"> </w:t>
      </w:r>
      <w:r>
        <w:rPr>
          <w:rStyle w:val="VerbatimChar"/>
        </w:rPr>
        <w:t xml:space="preserve">GET /api/state/sync?keys=leads_v8,customers_v8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env.loc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env.loc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2026-09-11T07:11:29Z</dcterms:created>
  <dcterms:modified xsi:type="dcterms:W3CDTF">2026-09-11T07:11:29Z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