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Roboto" w:cs="Roboto" w:eastAsia="Roboto" w:hAnsi="Roboto"/>
          <w:b w:val="1"/>
          <w:bCs w:val="1"/>
          <w:color w:val="0f0f0f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6"/>
          <w:szCs w:val="36"/>
          <w:rtl w:val="0"/>
        </w:rPr>
        <w:t xml:space="preserve">Architect a Real Agentic AI System (Step by Step)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color w:val="30303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2"/>
          <w:szCs w:val="22"/>
          <w:rtl w:val="0"/>
        </w:rPr>
        <w:t xml:space="preserve">It walks through the process of taking an agentic AI system from a simple, non-functional demo to an enterprise-grade, production-ready customer support architecture for a banking organization.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80630604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0245" y="3779683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80630604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color w:val="30303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2"/>
          <w:szCs w:val="22"/>
          <w:rtl w:val="0"/>
        </w:rPr>
        <w:t xml:space="preserve">Problem Context &amp; Business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The Problem: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A banking organization’s customer support team handles thousands of incoming requests (with 65% being repetitive queries). Human support agents currently have to toggle across more than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14 different screens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to resolve customer issues, costing the organization millions of dollars.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280" w:before="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The Goal: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Architect a secure, autonomous AI customer support system capable of handling complex account inquiries, transactions, and service requests safely and reliably.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80630604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45" y="3779683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80630604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30303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2"/>
          <w:szCs w:val="22"/>
          <w:rtl w:val="0"/>
        </w:rPr>
        <w:t xml:space="preserve">Step-by-Step Architectural 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color w:val="30303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2"/>
          <w:szCs w:val="22"/>
          <w:rtl w:val="0"/>
        </w:rPr>
        <w:t xml:space="preserve">The video structures the transition into clear architectural stages: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Step 1: The Raw LLM Baseline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Asking a standalone language model a question like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303030"/>
          <w:sz w:val="19"/>
          <w:szCs w:val="19"/>
          <w:rtl w:val="0"/>
        </w:rPr>
        <w:t xml:space="preserve">"What is my account balance?"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fails because LLMs are isolated and lack direct access to internal banking databases.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Step 2: Tool-Based Agent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Tools and APIs are introduced to connect the LLM to internal systems (e.g., balance inquiries, statement requests, address changes). However, adding dozens of banking tools to a single agent causes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tool overload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, degrading reasoning and reliability.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Step 3: Domain-Specific Sub-Agents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To solve tool overload, the system is modularized into specialized sub-agents: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Accounts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Transaction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Service / Customer Service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280" w:before="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Step 4: Decoupling with Model Context Protocol (MCP)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Rather than writing tightly coupled programs, the architecture integrates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MCP servers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(Accounts MCP server, Transaction MCP server, Service MCP server) to standardize how sub-agents interact with internal banking tools and data sources.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1270" cy="12700"/>
                <wp:effectExtent b="0" l="0" r="0" t="0"/>
                <wp:docPr id="180630604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0245" y="3779365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270" cy="12700"/>
                <wp:effectExtent b="0" l="0" r="0" t="0"/>
                <wp:docPr id="180630604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color w:val="30303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2"/>
          <w:szCs w:val="22"/>
          <w:rtl w:val="0"/>
        </w:rPr>
        <w:t xml:space="preserve">Production Enterprise 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color w:val="30303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2"/>
          <w:szCs w:val="22"/>
          <w:rtl w:val="0"/>
        </w:rPr>
        <w:t xml:space="preserve">To make the agentic system enterprise-ready, several critical engineering layers are added: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Authentication &amp; Role-Based Access Control (RBAC):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Integrates with existing identity providers using token-based authentication. The system applies permission tiers based on customer status—for example, a privileged/premium customer may be authorized to request a credit limit increase, whereas a standard customer receives a permission refusal.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Stateful Memory &amp; Conversation History: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Because LLMs are stateless by default, the system incorporates a shared conversation history and state management. This allows the agent to recall context across multiple turns (e.g., connecting a debit transaction query to a previously flagged suspicious transaction).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PII (Personally Identifiable Information) Redaction &amp; Hybrid Hosting(LLM):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A dedicated PII redaction service strips sensitive data (such as credit card numbers) before data leaves internal systems. The design suggests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self-hosted models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for data privacy, reserving third-party cloud models only when heavy, complex reasoning is required.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Deterministic Guardrails: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Hard business rules are enforced before the agent triggers real-world actions (e.g., requiring the agent to confirm the delivery address with the customer before submitting a checkbook order).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Evaluation &amp; Hallucination Prevention: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Techniques to address non-deterministic outputs—such as an agent hallucinating an account balance of 18,200 when the actual customer balance is 52,340—to ensure factual correctness before responding to users.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Observability, Infrastructure &amp; Network 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Observability: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Tracks system health (CPU, memory, disk) as well as specific LLM interactions and metrics.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hd w:fill="ffffff" w:val="clear"/>
        <w:spacing w:after="280" w:before="0" w:line="240" w:lineRule="auto"/>
        <w:ind w:left="1440" w:hanging="360"/>
        <w:rPr>
          <w:color w:val="3030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03030"/>
          <w:sz w:val="19"/>
          <w:szCs w:val="19"/>
          <w:rtl w:val="0"/>
        </w:rPr>
        <w:t xml:space="preserve">Edge &amp; Network Security:</w:t>
      </w:r>
      <w:r w:rsidDel="00000000" w:rsidR="00000000" w:rsidRPr="00000000">
        <w:rPr>
          <w:rFonts w:ascii="Google Sans" w:cs="Google Sans" w:eastAsia="Google Sans" w:hAnsi="Google Sans"/>
          <w:color w:val="303030"/>
          <w:sz w:val="19"/>
          <w:szCs w:val="19"/>
          <w:rtl w:val="0"/>
        </w:rPr>
        <w:t xml:space="preserve"> Implements a Web Application Firewall (WAF), Denial of Service (DoS) protection, rate limiting, and an API gateway to secure external entry points into the banking environment.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Roboto" w:cs="Roboto" w:eastAsia="Roboto" w:hAnsi="Roboto"/>
          <w:b w:val="1"/>
          <w:bCs w:val="1"/>
          <w:color w:val="0f0f0f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6"/>
          <w:szCs w:val="36"/>
          <w:rtl w:val="0"/>
        </w:rPr>
        <w:t xml:space="preserve">Steps Covered</w:t>
      </w:r>
    </w:p>
    <w:p w:rsidR="00000000" w:rsidDel="00000000" w:rsidP="00000000" w:rsidRDefault="00000000" w:rsidRPr="00000000" w14:paraId="0000001D">
      <w:pPr>
        <w:spacing w:after="0" w:lineRule="auto"/>
        <w:rPr>
          <w:rFonts w:ascii="REM" w:cs="REM" w:eastAsia="REM" w:hAnsi="REM"/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Multi-agent design (Coordinator + domain sub-agents) 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MCP servers for tool abstraction 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Authentication &amp; Authorization (and why they're not the same thing) 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Session management, conversation memory &amp; inter-agent state sharing </w:t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Hybrid LLM strategy — why PII never leaves the bank 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Prompt injection risks &amp; guardrails (a real attack scenario) </w:t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Agent evaluation pipelines (catching regressions before they ship)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Observability &amp; tracing for agentic systems </w:t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Cost tracking &amp; runaway-loop protection 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Message queues, human-in-the-loop approval &amp; async writes 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Production deployment, networking &amp; failure handling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3131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31313"/>
          <w:sz w:val="20"/>
          <w:szCs w:val="20"/>
          <w:u w:val="none"/>
          <w:shd w:fill="auto" w:val="clear"/>
          <w:vertAlign w:val="baseline"/>
          <w:rtl w:val="0"/>
        </w:rPr>
        <w:t xml:space="preserve">Simple Demo</w:t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3981450" cy="905858"/>
            <wp:effectExtent b="0" l="0" r="0" t="0"/>
            <wp:docPr id="18063060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05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31313"/>
          <w:sz w:val="20"/>
          <w:szCs w:val="20"/>
        </w:rPr>
      </w:pPr>
      <w:r w:rsidDel="00000000" w:rsidR="00000000" w:rsidRPr="00000000">
        <w:rPr>
          <w:rFonts w:ascii="REM" w:cs="REM" w:eastAsia="REM" w:hAnsi="REM"/>
          <w:color w:val="131313"/>
          <w:sz w:val="20"/>
          <w:szCs w:val="20"/>
          <w:rtl w:val="0"/>
        </w:rPr>
        <w:t xml:space="preserve">⏱️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Timestamps </w:t>
      </w:r>
      <w:hyperlink r:id="rId9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00:00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Intro </w:t>
      </w:r>
      <w:hyperlink r:id="rId10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1,</w:t>
        </w:r>
      </w:hyperlink>
      <w:r w:rsidDel="00000000" w:rsidR="00000000" w:rsidRPr="00000000">
        <w:rPr>
          <w:rFonts w:ascii="Roboto" w:cs="Roboto" w:eastAsia="Roboto" w:hAnsi="Roboto"/>
          <w:color w:val="065f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The Business Problem </w:t>
      </w:r>
      <w:r w:rsidDel="00000000" w:rsidR="00000000" w:rsidRPr="00000000">
        <w:rPr>
          <w:rFonts w:ascii="Roboto" w:cs="Roboto" w:eastAsia="Roboto" w:hAnsi="Roboto"/>
          <w:color w:val="065fd4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The Starting Point </w:t>
      </w:r>
      <w:r w:rsidDel="00000000" w:rsidR="00000000" w:rsidRPr="00000000">
        <w:rPr>
          <w:rFonts w:ascii="Roboto" w:cs="Roboto" w:eastAsia="Roboto" w:hAnsi="Roboto"/>
          <w:color w:val="065fd4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Connecting Agent to the Bank </w:t>
      </w:r>
      <w:hyperlink r:id="rId11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4.</w:t>
        </w:r>
      </w:hyperlink>
      <w:r w:rsidDel="00000000" w:rsidR="00000000" w:rsidRPr="00000000">
        <w:rPr>
          <w:rFonts w:ascii="Roboto" w:cs="Roboto" w:eastAsia="Roboto" w:hAnsi="Roboto"/>
          <w:color w:val="065f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One Agent. Too Many Tools </w:t>
      </w:r>
      <w:hyperlink r:id="rId12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06:21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Who Plans Agent Execution? </w:t>
      </w:r>
      <w:hyperlink r:id="rId13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07:28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Tool Integration Headache </w:t>
      </w:r>
      <w:hyperlink r:id="rId14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08:13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MCP Servers </w:t>
      </w:r>
      <w:hyperlink r:id="rId15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09:09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Demo - The Security Issue </w:t>
      </w:r>
      <w:hyperlink r:id="rId16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10:08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Agent Knows Who is Talking </w:t>
      </w:r>
      <w:hyperlink r:id="rId17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12:58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AI vs Software Engineering </w:t>
      </w:r>
      <w:hyperlink r:id="rId18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13:40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The Memory </w:t>
      </w:r>
      <w:hyperlink r:id="rId19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15:22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PII Never Leaves the Bank </w:t>
      </w:r>
      <w:hyperlink r:id="rId20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17:29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Prompt that breaks the system </w:t>
      </w:r>
      <w:hyperlink r:id="rId21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18:35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Where did my system go wrong </w:t>
      </w:r>
      <w:hyperlink r:id="rId22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20:39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The bill that tripled </w:t>
      </w:r>
      <w:hyperlink r:id="rId23">
        <w:r w:rsidDel="00000000" w:rsidR="00000000" w:rsidRPr="00000000">
          <w:rPr>
            <w:rFonts w:ascii="Roboto" w:cs="Roboto" w:eastAsia="Roboto" w:hAnsi="Roboto"/>
            <w:color w:val="0000ff"/>
            <w:sz w:val="20"/>
            <w:szCs w:val="20"/>
            <w:u w:val="none"/>
            <w:rtl w:val="0"/>
          </w:rPr>
          <w:t xml:space="preserve">21:15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0"/>
          <w:szCs w:val="20"/>
          <w:rtl w:val="0"/>
        </w:rPr>
        <w:t xml:space="preserve"> Edge Layer Security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131313"/>
          <w:sz w:val="20"/>
          <w:szCs w:val="20"/>
          <w:u w:val="none"/>
          <w:shd w:fill="auto" w:val="clear"/>
          <w:vertAlign w:val="baseline"/>
          <w:rtl w:val="0"/>
        </w:rPr>
        <w:t xml:space="preserve">One Agent. Too Many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4767263" cy="1962150"/>
            <wp:effectExtent b="0" l="0" r="0" t="0"/>
            <wp:docPr id="180630605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Step 4: Adding the sub agent </w:t>
            </w:r>
          </w:p>
          <w:p w:rsidR="00000000" w:rsidDel="00000000" w:rsidP="00000000" w:rsidRDefault="00000000" w:rsidRPr="00000000" w14:paraId="00000031">
            <w:pPr>
              <w:shd w:fill="ffffff" w:val="clear"/>
              <w:ind w:left="720" w:firstLine="0"/>
              <w:rPr>
                <w:rFonts w:ascii="Google Sans" w:cs="Google Sans" w:eastAsia="Google Sans" w:hAnsi="Google Sans"/>
                <w:color w:val="303030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03030"/>
                <w:sz w:val="19"/>
                <w:szCs w:val="19"/>
                <w:rtl w:val="0"/>
              </w:rPr>
              <w:t xml:space="preserve">We are going to do the spawning(grouping) the tool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4119563" cy="3810000"/>
                  <wp:effectExtent b="0" l="0" r="0" t="0"/>
                  <wp:docPr id="180630605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563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Step 5: Exposing MCP 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4224338" cy="3876675"/>
                  <wp:effectExtent b="0" l="0" r="0" t="0"/>
                  <wp:docPr id="180630605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338" cy="387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Full Architecture View </w:t>
      </w:r>
      <w:r w:rsidDel="00000000" w:rsidR="00000000" w:rsidRPr="00000000">
        <w:rPr>
          <w:sz w:val="22"/>
          <w:szCs w:val="22"/>
          <w:rtl w:val="0"/>
        </w:rPr>
        <w:t xml:space="preserve">– Blue is software engineer and green is AI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734050" cy="4734835"/>
            <wp:effectExtent b="0" l="0" r="0" t="0"/>
            <wp:docPr id="180630605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3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Agentic AI System Design</w:t>
      </w:r>
    </w:p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676987" cy="2196354"/>
            <wp:effectExtent b="0" l="0" r="0" t="0"/>
            <wp:docPr id="18063060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87" cy="2196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This video outlines how to design a professional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AI Agent System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 for e-commerce cu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stomer support, focusing on automating tasks like returns, exchanges, and order tracking while maintaining high customer satisfaction.</w:t>
      </w:r>
    </w:p>
    <w:p w:rsidR="00000000" w:rsidDel="00000000" w:rsidP="00000000" w:rsidRDefault="00000000" w:rsidRPr="00000000" w14:paraId="00000045">
      <w:pPr>
        <w:shd w:fill="ffffff" w:val="clear"/>
        <w:spacing w:after="120" w:before="120" w:line="240" w:lineRule="auto"/>
        <w:rPr>
          <w:rFonts w:ascii="Roboto" w:cs="Roboto" w:eastAsia="Roboto" w:hAnsi="Roboto"/>
          <w:color w:val="0f0f0f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0f0f"/>
          <w:sz w:val="22"/>
          <w:szCs w:val="22"/>
          <w:rtl w:val="0"/>
        </w:rPr>
        <w:t xml:space="preserve">Core System Design Goals: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line="240" w:lineRule="auto"/>
        <w:ind w:left="720" w:hanging="360"/>
        <w:rPr>
          <w:color w:val="0f0f0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Efficiency: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Achieve over 70% automation in support flows (</w:t>
      </w:r>
      <w:r w:rsidDel="00000000" w:rsidR="00000000" w:rsidRPr="00000000">
        <w:rPr>
          <w:rFonts w:ascii="Roboto" w:cs="Roboto" w:eastAsia="Roboto" w:hAnsi="Roboto"/>
          <w:color w:val="065fd4"/>
          <w:sz w:val="18"/>
          <w:szCs w:val="18"/>
          <w:rtl w:val="0"/>
        </w:rPr>
        <w:t xml:space="preserve">1:09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line="240" w:lineRule="auto"/>
        <w:ind w:left="720" w:hanging="360"/>
        <w:rPr>
          <w:color w:val="0f0f0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Performance: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Ensure 50% of responses occur under 1 second and 95% under 2.5 seconds (</w:t>
      </w:r>
      <w:r w:rsidDel="00000000" w:rsidR="00000000" w:rsidRPr="00000000">
        <w:rPr>
          <w:rFonts w:ascii="Roboto" w:cs="Roboto" w:eastAsia="Roboto" w:hAnsi="Roboto"/>
          <w:color w:val="065fd4"/>
          <w:sz w:val="18"/>
          <w:szCs w:val="18"/>
          <w:rtl w:val="0"/>
        </w:rPr>
        <w:t xml:space="preserve">1:32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line="240" w:lineRule="auto"/>
        <w:ind w:left="720" w:hanging="360"/>
        <w:rPr>
          <w:color w:val="0f0f0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Quality: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Maintain a customer satisfaction rating above 4.5/5 (</w:t>
      </w:r>
      <w:r w:rsidDel="00000000" w:rsidR="00000000" w:rsidRPr="00000000">
        <w:rPr>
          <w:rFonts w:ascii="Roboto" w:cs="Roboto" w:eastAsia="Roboto" w:hAnsi="Roboto"/>
          <w:color w:val="065fd4"/>
          <w:sz w:val="18"/>
          <w:szCs w:val="18"/>
          <w:rtl w:val="0"/>
        </w:rPr>
        <w:t xml:space="preserve">1:25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shd w:fill="ffffff" w:val="clear"/>
        <w:spacing w:after="120" w:before="120" w:line="240" w:lineRule="auto"/>
        <w:rPr>
          <w:rFonts w:ascii="Roboto" w:cs="Roboto" w:eastAsia="Roboto" w:hAnsi="Roboto"/>
          <w:color w:val="0f0f0f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0f0f"/>
          <w:sz w:val="22"/>
          <w:szCs w:val="22"/>
          <w:rtl w:val="0"/>
        </w:rPr>
        <w:t xml:space="preserve">Key Architectural Components: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line="240" w:lineRule="auto"/>
        <w:ind w:left="720" w:hanging="360"/>
        <w:rPr>
          <w:color w:val="0f0f0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Router Agent: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Analyzes user intent to determine the next steps and decides if a human needs to be looped into the conversation (</w:t>
      </w:r>
      <w:r w:rsidDel="00000000" w:rsidR="00000000" w:rsidRPr="00000000">
        <w:rPr>
          <w:rFonts w:ascii="Roboto" w:cs="Roboto" w:eastAsia="Roboto" w:hAnsi="Roboto"/>
          <w:color w:val="065fd4"/>
          <w:sz w:val="18"/>
          <w:szCs w:val="18"/>
          <w:rtl w:val="0"/>
        </w:rPr>
        <w:t xml:space="preserve">7:08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line="240" w:lineRule="auto"/>
        <w:ind w:left="720" w:hanging="360"/>
        <w:rPr>
          <w:color w:val="0f0f0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Q&amp;A Agent: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Acts as the central "brain" for customer interaction, managing communications and maintaining context (</w:t>
      </w:r>
      <w:r w:rsidDel="00000000" w:rsidR="00000000" w:rsidRPr="00000000">
        <w:rPr>
          <w:rFonts w:ascii="Roboto" w:cs="Roboto" w:eastAsia="Roboto" w:hAnsi="Roboto"/>
          <w:color w:val="065fd4"/>
          <w:sz w:val="18"/>
          <w:szCs w:val="18"/>
          <w:rtl w:val="0"/>
        </w:rPr>
        <w:t xml:space="preserve">7:38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line="240" w:lineRule="auto"/>
        <w:ind w:left="720" w:hanging="360"/>
        <w:rPr>
          <w:color w:val="0f0f0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Planner Agent: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Coordinates the execution of specific tasks, such as triggering APIs for refunds or order status checks (</w:t>
      </w:r>
      <w:r w:rsidDel="00000000" w:rsidR="00000000" w:rsidRPr="00000000">
        <w:rPr>
          <w:rFonts w:ascii="Roboto" w:cs="Roboto" w:eastAsia="Roboto" w:hAnsi="Roboto"/>
          <w:color w:val="065fd4"/>
          <w:sz w:val="18"/>
          <w:szCs w:val="18"/>
          <w:rtl w:val="0"/>
        </w:rPr>
        <w:t xml:space="preserve">9:33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line="240" w:lineRule="auto"/>
        <w:ind w:left="720" w:hanging="360"/>
        <w:rPr>
          <w:color w:val="0f0f0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Vector Database (RAG):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Used for 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Retrieval-Augmented Generation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, allowing the system to semantically search unstructured private data like return policies (</w:t>
      </w:r>
      <w:r w:rsidDel="00000000" w:rsidR="00000000" w:rsidRPr="00000000">
        <w:rPr>
          <w:rFonts w:ascii="Roboto" w:cs="Roboto" w:eastAsia="Roboto" w:hAnsi="Roboto"/>
          <w:color w:val="065fd4"/>
          <w:sz w:val="18"/>
          <w:szCs w:val="18"/>
          <w:rtl w:val="0"/>
        </w:rPr>
        <w:t xml:space="preserve">12:28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line="240" w:lineRule="auto"/>
        <w:ind w:left="720" w:hanging="360"/>
        <w:rPr>
          <w:color w:val="0f0f0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Functional Calling: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Integrates external tools like 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18"/>
          <w:szCs w:val="18"/>
          <w:rtl w:val="0"/>
        </w:rPr>
        <w:t xml:space="preserve">Shopify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, 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, and 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18"/>
          <w:szCs w:val="18"/>
          <w:rtl w:val="0"/>
        </w:rPr>
        <w:t xml:space="preserve">CRM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systems to perform real-world actions automatically (</w:t>
      </w:r>
      <w:r w:rsidDel="00000000" w:rsidR="00000000" w:rsidRPr="00000000">
        <w:rPr>
          <w:rFonts w:ascii="Roboto" w:cs="Roboto" w:eastAsia="Roboto" w:hAnsi="Roboto"/>
          <w:color w:val="065fd4"/>
          <w:sz w:val="18"/>
          <w:szCs w:val="18"/>
          <w:rtl w:val="0"/>
        </w:rPr>
        <w:t xml:space="preserve">10:15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shd w:fill="ffffff" w:val="clear"/>
        <w:spacing w:after="120" w:before="120" w:line="240" w:lineRule="auto"/>
        <w:rPr>
          <w:rFonts w:ascii="Roboto" w:cs="Roboto" w:eastAsia="Roboto" w:hAnsi="Roboto"/>
          <w:color w:val="0f0f0f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0f0f"/>
          <w:sz w:val="22"/>
          <w:szCs w:val="22"/>
          <w:rtl w:val="0"/>
        </w:rPr>
        <w:t xml:space="preserve">Operational Best Practices: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line="240" w:lineRule="auto"/>
        <w:ind w:left="720" w:hanging="360"/>
        <w:rPr>
          <w:color w:val="0f0f0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Human-in-the-loop: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A critical safety mechanism for handling complex or emotionally charged customer interactions (</w:t>
      </w:r>
      <w:r w:rsidDel="00000000" w:rsidR="00000000" w:rsidRPr="00000000">
        <w:rPr>
          <w:rFonts w:ascii="Roboto" w:cs="Roboto" w:eastAsia="Roboto" w:hAnsi="Roboto"/>
          <w:color w:val="065fd4"/>
          <w:sz w:val="18"/>
          <w:szCs w:val="18"/>
          <w:rtl w:val="0"/>
        </w:rPr>
        <w:t xml:space="preserve">8:36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line="240" w:lineRule="auto"/>
        <w:ind w:left="720" w:hanging="360"/>
        <w:rPr>
          <w:color w:val="0f0f0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Observability: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Continuously monitoring system metrics and evaluations to ensure goals are met (</w:t>
      </w:r>
      <w:r w:rsidDel="00000000" w:rsidR="00000000" w:rsidRPr="00000000">
        <w:rPr>
          <w:rFonts w:ascii="Roboto" w:cs="Roboto" w:eastAsia="Roboto" w:hAnsi="Roboto"/>
          <w:color w:val="065fd4"/>
          <w:sz w:val="18"/>
          <w:szCs w:val="18"/>
          <w:rtl w:val="0"/>
        </w:rPr>
        <w:t xml:space="preserve">17:10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line="240" w:lineRule="auto"/>
        <w:ind w:left="720" w:hanging="360"/>
        <w:rPr>
          <w:color w:val="0f0f0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Deterministic Workflows: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 Sometimes using fixed rules is more reliable than an agent; knowing when to use standard automation versus AI is vital for system stability (</w:t>
      </w:r>
      <w:r w:rsidDel="00000000" w:rsidR="00000000" w:rsidRPr="00000000">
        <w:rPr>
          <w:rFonts w:ascii="Roboto" w:cs="Roboto" w:eastAsia="Roboto" w:hAnsi="Roboto"/>
          <w:color w:val="065fd4"/>
          <w:sz w:val="18"/>
          <w:szCs w:val="18"/>
          <w:rtl w:val="0"/>
        </w:rPr>
        <w:t xml:space="preserve">11:24</w:t>
      </w: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799982" cy="6589789"/>
            <wp:effectExtent b="0" l="0" r="0" t="0"/>
            <wp:docPr id="18063060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9982" cy="6589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01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Google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  <w:font w:name="RE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F176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F176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F176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F176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F176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F176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F176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F176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F176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F176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F176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F176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F176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F176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F176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F176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F176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F176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F176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F176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F1763"/>
    <w:rPr>
      <w:b w:val="1"/>
      <w:bCs w:val="1"/>
      <w:smallCaps w:val="1"/>
      <w:color w:val="0f4761" w:themeColor="accent1" w:themeShade="0000BF"/>
      <w:spacing w:val="5"/>
    </w:rPr>
  </w:style>
  <w:style w:type="character" w:styleId="ytattributedstringlinkinheritcolor" w:customStyle="1">
    <w:name w:val="ytattributedstringlinkinheritcolor"/>
    <w:basedOn w:val="DefaultParagraphFont"/>
    <w:rsid w:val="009F1763"/>
  </w:style>
  <w:style w:type="character" w:styleId="Hyperlink">
    <w:name w:val="Hyperlink"/>
    <w:basedOn w:val="DefaultParagraphFont"/>
    <w:uiPriority w:val="99"/>
    <w:semiHidden w:val="1"/>
    <w:unhideWhenUsed w:val="1"/>
    <w:rsid w:val="009F17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F1763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9F17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g-star-inserted" w:customStyle="1">
    <w:name w:val="ng-star-inserted"/>
    <w:basedOn w:val="DefaultParagraphFont"/>
    <w:rsid w:val="00CB4B3A"/>
  </w:style>
  <w:style w:type="paragraph" w:styleId="paragraph" w:customStyle="1">
    <w:name w:val="paragraph"/>
    <w:basedOn w:val="Normal"/>
    <w:rsid w:val="00CB4B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rmalWeb">
    <w:name w:val="Normal (Web)"/>
    <w:basedOn w:val="Normal"/>
    <w:uiPriority w:val="99"/>
    <w:semiHidden w:val="1"/>
    <w:unhideWhenUsed w:val="1"/>
    <w:rsid w:val="00044A5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character" w:styleId="Strong">
    <w:name w:val="Strong"/>
    <w:basedOn w:val="DefaultParagraphFont"/>
    <w:uiPriority w:val="22"/>
    <w:qFormat w:val="1"/>
    <w:rsid w:val="00044A52"/>
    <w:rPr>
      <w:b w:val="1"/>
      <w:bCs w:val="1"/>
    </w:rPr>
  </w:style>
  <w:style w:type="character" w:styleId="ytwmarkdowndivtimestamp" w:customStyle="1">
    <w:name w:val="ytwmarkdowndivtimestamp"/>
    <w:basedOn w:val="DefaultParagraphFont"/>
    <w:rsid w:val="00044A52"/>
  </w:style>
  <w:style w:type="character" w:styleId="Emphasis">
    <w:name w:val="Emphasis"/>
    <w:basedOn w:val="DefaultParagraphFont"/>
    <w:uiPriority w:val="20"/>
    <w:qFormat w:val="1"/>
    <w:rsid w:val="00044A52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ZIAzZtKWmbI&amp;t=1049s" TargetMode="External"/><Relationship Id="rId22" Type="http://schemas.openxmlformats.org/officeDocument/2006/relationships/hyperlink" Target="https://www.youtube.com/watch?v=ZIAzZtKWmbI&amp;t=1239s" TargetMode="External"/><Relationship Id="rId21" Type="http://schemas.openxmlformats.org/officeDocument/2006/relationships/hyperlink" Target="https://www.youtube.com/watch?v=ZIAzZtKWmbI&amp;t=1115s" TargetMode="External"/><Relationship Id="rId24" Type="http://schemas.openxmlformats.org/officeDocument/2006/relationships/image" Target="media/image7.png"/><Relationship Id="rId23" Type="http://schemas.openxmlformats.org/officeDocument/2006/relationships/hyperlink" Target="https://www.youtube.com/watch?v=ZIAzZtKWmbI&amp;t=1275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ZIAzZtKWmbI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2.png"/><Relationship Id="rId28" Type="http://schemas.openxmlformats.org/officeDocument/2006/relationships/image" Target="media/image6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5.png"/><Relationship Id="rId11" Type="http://schemas.openxmlformats.org/officeDocument/2006/relationships/hyperlink" Target="https://www.youtube.com/watch?v=ZIAzZtKWmbI&amp;t=311s" TargetMode="External"/><Relationship Id="rId10" Type="http://schemas.openxmlformats.org/officeDocument/2006/relationships/hyperlink" Target="https://www.youtube.com/watch?v=ZIAzZtKWmbI&amp;t=63s" TargetMode="External"/><Relationship Id="rId13" Type="http://schemas.openxmlformats.org/officeDocument/2006/relationships/hyperlink" Target="https://www.youtube.com/watch?v=ZIAzZtKWmbI&amp;t=448s" TargetMode="External"/><Relationship Id="rId12" Type="http://schemas.openxmlformats.org/officeDocument/2006/relationships/hyperlink" Target="https://www.youtube.com/watch?v=ZIAzZtKWmbI&amp;t=381s" TargetMode="External"/><Relationship Id="rId15" Type="http://schemas.openxmlformats.org/officeDocument/2006/relationships/hyperlink" Target="https://www.youtube.com/watch?v=ZIAzZtKWmbI&amp;t=549s" TargetMode="External"/><Relationship Id="rId14" Type="http://schemas.openxmlformats.org/officeDocument/2006/relationships/hyperlink" Target="https://www.youtube.com/watch?v=ZIAzZtKWmbI&amp;t=493s" TargetMode="External"/><Relationship Id="rId17" Type="http://schemas.openxmlformats.org/officeDocument/2006/relationships/hyperlink" Target="https://www.youtube.com/watch?v=ZIAzZtKWmbI&amp;t=778s" TargetMode="External"/><Relationship Id="rId16" Type="http://schemas.openxmlformats.org/officeDocument/2006/relationships/hyperlink" Target="https://www.youtube.com/watch?v=ZIAzZtKWmbI&amp;t=608s" TargetMode="External"/><Relationship Id="rId19" Type="http://schemas.openxmlformats.org/officeDocument/2006/relationships/hyperlink" Target="https://www.youtube.com/watch?v=ZIAzZtKWmbI&amp;t=922s" TargetMode="External"/><Relationship Id="rId18" Type="http://schemas.openxmlformats.org/officeDocument/2006/relationships/hyperlink" Target="https://www.youtube.com/watch?v=ZIAzZtKWmbI&amp;t=820s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toSansSymbols-regular.ttf"/><Relationship Id="rId10" Type="http://schemas.openxmlformats.org/officeDocument/2006/relationships/font" Target="fonts/GoogleSans-boldItalic.ttf"/><Relationship Id="rId13" Type="http://schemas.openxmlformats.org/officeDocument/2006/relationships/font" Target="fonts/REM-regular.ttf"/><Relationship Id="rId12" Type="http://schemas.openxmlformats.org/officeDocument/2006/relationships/font" Target="fonts/NotoSansSymbols-bold.ttf"/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GoogleSans-italic.ttf"/><Relationship Id="rId15" Type="http://schemas.openxmlformats.org/officeDocument/2006/relationships/font" Target="fonts/REM-italic.ttf"/><Relationship Id="rId14" Type="http://schemas.openxmlformats.org/officeDocument/2006/relationships/font" Target="fonts/REM-bold.ttf"/><Relationship Id="rId16" Type="http://schemas.openxmlformats.org/officeDocument/2006/relationships/font" Target="fonts/REM-bold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GoogleSans-regular.ttf"/><Relationship Id="rId8" Type="http://schemas.openxmlformats.org/officeDocument/2006/relationships/font" Target="fonts/Google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+T0o+W2XZx1svFcI6EfZsFGmZA==">CgMxLjA4AHIhMWFoUXJaV1lNbjRqWlNXUzZjZ2R4dURveEhkbXllc2N1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2026-08-31T22:13:00Z</dcterms:created>
  <dc:creator>Devesh Srivastava</dc:creator>
</cp:coreProperties>
</file>