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4685E"/>
          <w:spacing w:val="40"/>
          <w:sz w:val="19"/>
          <w:szCs w:val="19"/>
        </w:rPr>
        <w:t xml:space="preserve">PRG-P03</w:t>
      </w:r>
      <w:r>
        <w:rPr>
          <w:rFonts w:ascii="Calibri" w:cs="Calibri" w:eastAsia="Calibri" w:hAnsi="Calibri"/>
          <w:b/>
          <w:bCs/>
          <w:color w:val="5A5F6B"/>
          <w:spacing w:val="30"/>
          <w:sz w:val="15"/>
          <w:szCs w:val="15"/>
        </w:rPr>
        <w:t xml:space="preserve">      PROTOCOL — HOW TO DO IT</w:t>
      </w:r>
    </w:p>
    <w:p>
      <w:pPr>
        <w:spacing w:after="50"/>
      </w:pPr>
      <w:r>
        <w:rPr>
          <w:rFonts w:ascii="Calibri" w:cs="Calibri" w:eastAsia="Calibri" w:hAnsi="Calibri"/>
          <w:b/>
          <w:bCs/>
          <w:color w:val="1F3352"/>
          <w:sz w:val="38"/>
          <w:szCs w:val="38"/>
        </w:rPr>
        <w:t xml:space="preserve">Missed Punches</w:t>
      </w:r>
    </w:p>
    <w:p>
      <w:pPr>
        <w:pBdr>
          <w:bottom w:val="single" w:color="14685E" w:sz="14" w:space="8"/>
        </w:pBdr>
        <w:spacing w:after="200"/>
      </w:pPr>
      <w:r>
        <w:rPr>
          <w:rFonts w:ascii="Calibri" w:cs="Calibri" w:eastAsia="Calibri" w:hAnsi="Calibri"/>
          <w:i/>
          <w:iCs/>
          <w:color w:val="5A5F6B"/>
          <w:sz w:val="21"/>
          <w:szCs w:val="21"/>
        </w:rPr>
        <w:t xml:space="preserve">Fernando — one page</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2100"/>
        <w:gridCol w:w="7260"/>
      </w:tblGrid>
      <w:tr>
        <w:trPr>
          <w:tblHeader/>
        </w:trPr>
        <w:tc>
          <w:tcPr>
            <w:tcW w:type="dxa" w:w="21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Field</w:t>
            </w:r>
          </w:p>
        </w:tc>
        <w:tc>
          <w:tcPr>
            <w:tcW w:type="dxa" w:w="72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Detail</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Owner</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Fernando · escalates to Eli</w:t>
            </w:r>
          </w:p>
        </w:tc>
      </w:tr>
      <w:tr>
        <w:tc>
          <w:tcPr>
            <w:tcW w:type="dxa" w:w="210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Window</w:t>
            </w:r>
          </w:p>
        </w:tc>
        <w:tc>
          <w:tcPr>
            <w:tcW w:type="dxa" w:w="72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Rolling 90 days</w:t>
            </w:r>
          </w:p>
        </w:tc>
      </w:tr>
      <w:tr>
        <w:tc>
          <w:tcPr>
            <w:tcW w:type="dxa" w:w="210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Background</w:t>
            </w:r>
          </w:p>
        </w:tc>
        <w:tc>
          <w:tcPr>
            <w:tcW w:type="dxa" w:w="726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PRG-R03</w:t>
            </w:r>
          </w:p>
        </w:tc>
      </w:tr>
    </w:tbl>
    <w:p>
      <w:pPr>
        <w:spacing w:after="190"/>
      </w:pPr>
    </w:p>
    <w:tbl>
      <w:tblPr>
        <w:tblW w:type="dxa" w:w="9360"/>
        <w:tblBorders>
          <w:top w:val="single" w:color="C9822B" w:sz="4"/>
          <w:left w:val="single" w:color="C9822B" w:sz="22"/>
          <w:bottom w:val="single" w:color="C9822B" w:sz="4"/>
          <w:right w:val="single" w:color="C9822B" w:sz="4"/>
          <w:insideH w:val="none"/>
          <w:insideV w:val="none"/>
        </w:tblBorders>
      </w:tblPr>
      <w:tblGrid>
        <w:gridCol w:w="9360"/>
      </w:tblGrid>
      <w:tr>
        <w:tc>
          <w:tcPr>
            <w:tcW w:type="dxa" w:w="9360"/>
            <w:shd w:fill="FDF3E3" w:val="clear"/>
            <w:tcMar>
              <w:top w:type="dxa" w:w="130"/>
              <w:left w:type="dxa" w:w="170"/>
              <w:bottom w:type="dxa" w:w="130"/>
              <w:right w:type="dxa" w:w="170"/>
            </w:tcMar>
          </w:tcPr>
          <w:p>
            <w:pPr>
              <w:spacing w:after="70" w:line="264"/>
            </w:pPr>
            <w:r>
              <w:rPr>
                <w:rFonts w:ascii="Calibri" w:cs="Calibri" w:eastAsia="Calibri" w:hAnsi="Calibri"/>
                <w:b/>
                <w:bCs/>
                <w:color w:val="20242C"/>
                <w:sz w:val="20"/>
                <w:szCs w:val="20"/>
              </w:rPr>
              <w:t xml:space="preserve">They tell you same day → free. You find it → it counts.</w:t>
            </w:r>
          </w:p>
          <w:p>
            <w:pPr>
              <w:spacing w:after="70" w:line="264"/>
            </w:pPr>
            <w:r>
              <w:rPr>
                <w:rFonts w:ascii="Calibri" w:cs="Calibri" w:eastAsia="Calibri" w:hAnsi="Calibri"/>
                <w:color w:val="20242C"/>
                <w:sz w:val="20"/>
                <w:szCs w:val="20"/>
              </w:rPr>
              <w:t xml:space="preserve">Hours worked are always paid. Never dock or delay pay over a punch.</w:t>
            </w:r>
          </w:p>
          <w:p>
            <w:pPr>
              <w:spacing w:after="0" w:line="264"/>
            </w:pPr>
            <w:r>
              <w:rPr>
                <w:rFonts w:ascii="Calibri" w:cs="Calibri" w:eastAsia="Calibri" w:hAnsi="Calibri"/>
                <w:color w:val="20242C"/>
                <w:sz w:val="20"/>
                <w:szCs w:val="20"/>
              </w:rPr>
              <w:t xml:space="preserve">Staff report their own misses in PRSFlo. Same-day reporting is the whole point — say so at orientation and say it again in the first conversation.</w:t>
            </w:r>
          </w:p>
        </w:tc>
      </w:tr>
    </w:tbl>
    <w:p>
      <w:pPr>
        <w:spacing w:after="190"/>
      </w:pPr>
    </w:p>
    <w:p>
      <w:pPr>
        <w:pStyle w:val="Heading1"/>
        <w:pBdr>
          <w:bottom w:val="single" w:color="14685E" w:sz="8" w:space="6"/>
        </w:pBdr>
        <w:spacing w:after="150" w:before="300"/>
      </w:pPr>
      <w:r>
        <w:rPr>
          <w:rFonts w:ascii="Calibri" w:cs="Calibri" w:eastAsia="Calibri" w:hAnsi="Calibri"/>
          <w:b/>
          <w:bCs/>
          <w:color w:val="1F3352"/>
          <w:sz w:val="27"/>
          <w:szCs w:val="27"/>
        </w:rPr>
        <w:t xml:space="preserve">The ladder</w:t>
      </w:r>
    </w:p>
    <w:p>
      <w:pPr>
        <w:spacing w:after="120" w:line="276"/>
      </w:pPr>
      <w:r>
        <w:rPr>
          <w:rFonts w:ascii="Calibri" w:cs="Calibri" w:eastAsia="Calibri" w:hAnsi="Calibri"/>
          <w:color w:val="20242C"/>
          <w:sz w:val="21"/>
          <w:szCs w:val="21"/>
        </w:rPr>
        <w:t xml:space="preserve">Counted misses only, rolling 90 days. Clean 90 days resets to zero.</w:t>
      </w:r>
    </w:p>
    <w:tbl>
      <w:tblPr>
        <w:tblW w:type="dxa" w:w="9360"/>
        <w:tblBorders>
          <w:top w:val="single" w:color="B9C1CC" w:sz="2"/>
          <w:left w:val="single" w:color="B9C1CC" w:sz="2"/>
          <w:bottom w:val="single" w:color="B9C1CC" w:sz="2"/>
          <w:right w:val="single" w:color="B9C1CC" w:sz="2"/>
          <w:insideH w:val="single" w:color="D8DEE6" w:sz="2"/>
          <w:insideV w:val="single" w:color="D8DEE6" w:sz="2"/>
        </w:tblBorders>
      </w:tblPr>
      <w:tblGrid>
        <w:gridCol w:w="900"/>
        <w:gridCol w:w="8460"/>
      </w:tblGrid>
      <w:tr>
        <w:trPr>
          <w:tblHeader/>
        </w:trPr>
        <w:tc>
          <w:tcPr>
            <w:tcW w:type="dxa" w:w="90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t>
            </w:r>
          </w:p>
        </w:tc>
        <w:tc>
          <w:tcPr>
            <w:tcW w:type="dxa" w:w="8460"/>
            <w:shd w:fill="1F3352" w:val="clear"/>
            <w:tcMar>
              <w:top w:type="dxa" w:w="80"/>
              <w:left w:type="dxa" w:w="100"/>
              <w:bottom w:type="dxa" w:w="80"/>
              <w:right w:type="dxa" w:w="100"/>
            </w:tcMar>
          </w:tcPr>
          <w:p>
            <w:pPr>
              <w:spacing w:after="0"/>
            </w:pPr>
            <w:r>
              <w:rPr>
                <w:rFonts w:ascii="Calibri" w:cs="Calibri" w:eastAsia="Calibri" w:hAnsi="Calibri"/>
                <w:b/>
                <w:bCs/>
                <w:color w:val="FFFFFF"/>
                <w:sz w:val="19"/>
                <w:szCs w:val="19"/>
              </w:rPr>
              <w:t xml:space="preserve">What you do</w:t>
            </w:r>
          </w:p>
        </w:tc>
      </w:tr>
      <w:tr>
        <w:tc>
          <w:tcPr>
            <w:tcW w:type="dxa" w:w="9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1st</w:t>
            </w:r>
          </w:p>
        </w:tc>
        <w:tc>
          <w:tcPr>
            <w:tcW w:type="dxa" w:w="8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Quick word, in person. 60 seconds. "Text me next time."</w:t>
            </w:r>
          </w:p>
        </w:tc>
      </w:tr>
      <w:tr>
        <w:tc>
          <w:tcPr>
            <w:tcW w:type="dxa" w:w="9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2nd</w:t>
            </w:r>
          </w:p>
        </w:tc>
        <w:tc>
          <w:tcPr>
            <w:tcW w:type="dxa" w:w="8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Same conversation + email them a recap, cc Eli.</w:t>
            </w:r>
          </w:p>
        </w:tc>
      </w:tr>
      <w:tr>
        <w:tc>
          <w:tcPr>
            <w:tcW w:type="dxa" w:w="900"/>
            <w:shd w:fill="FFFFFF"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3rd</w:t>
            </w:r>
          </w:p>
        </w:tc>
        <w:tc>
          <w:tcPr>
            <w:tcW w:type="dxa" w:w="8460"/>
            <w:shd w:fill="FFFFFF"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Sit-down with Eli. Written warning, 30-day check-in.</w:t>
            </w:r>
          </w:p>
        </w:tc>
      </w:tr>
      <w:tr>
        <w:tc>
          <w:tcPr>
            <w:tcW w:type="dxa" w:w="900"/>
            <w:shd w:fill="F6F8FA" w:val="clear"/>
            <w:tcMar>
              <w:top w:type="dxa" w:w="70"/>
              <w:left w:type="dxa" w:w="100"/>
              <w:bottom w:type="dxa" w:w="70"/>
              <w:right w:type="dxa" w:w="100"/>
            </w:tcMar>
          </w:tcPr>
          <w:p>
            <w:pPr>
              <w:spacing w:after="0" w:line="258"/>
            </w:pPr>
            <w:r>
              <w:rPr>
                <w:rFonts w:ascii="Calibri" w:cs="Calibri" w:eastAsia="Calibri" w:hAnsi="Calibri"/>
                <w:b/>
                <w:bCs/>
                <w:color w:val="20242C"/>
                <w:sz w:val="19"/>
                <w:szCs w:val="19"/>
              </w:rPr>
              <w:t xml:space="preserve">4th+</w:t>
            </w:r>
          </w:p>
        </w:tc>
        <w:tc>
          <w:tcPr>
            <w:tcW w:type="dxa" w:w="8460"/>
            <w:shd w:fill="F6F8FA" w:val="clear"/>
            <w:tcMar>
              <w:top w:type="dxa" w:w="70"/>
              <w:left w:type="dxa" w:w="100"/>
              <w:bottom w:type="dxa" w:w="70"/>
              <w:right w:type="dxa" w:w="100"/>
            </w:tcMar>
          </w:tcPr>
          <w:p>
            <w:pPr>
              <w:spacing w:after="0" w:line="258"/>
            </w:pPr>
            <w:r>
              <w:rPr>
                <w:rFonts w:ascii="Calibri" w:cs="Calibri" w:eastAsia="Calibri" w:hAnsi="Calibri"/>
                <w:color w:val="20242C"/>
                <w:sz w:val="19"/>
                <w:szCs w:val="19"/>
              </w:rPr>
              <w:t xml:space="preserve">Eli decides.</w:t>
            </w:r>
          </w:p>
        </w:tc>
      </w:tr>
    </w:tbl>
    <w:p>
      <w:pPr>
        <w:spacing w:after="120"/>
      </w:pPr>
    </w:p>
    <w:p>
      <w:pPr>
        <w:spacing w:after="120" w:line="276"/>
      </w:pPr>
      <w:r>
        <w:rPr>
          <w:rFonts w:ascii="Calibri" w:cs="Calibri" w:eastAsia="Calibri" w:hAnsi="Calibri"/>
          <w:color w:val="20242C"/>
          <w:sz w:val="21"/>
          <w:szCs w:val="21"/>
        </w:rPr>
        <w:t xml:space="preserve">Exceptional shift — client emergency, 4 AM session? Skip the first conversation if you want. </w:t>
      </w:r>
      <w:r>
        <w:rPr>
          <w:rFonts w:ascii="Calibri" w:cs="Calibri" w:eastAsia="Calibri" w:hAnsi="Calibri"/>
          <w:b/>
          <w:bCs/>
          <w:color w:val="20242C"/>
          <w:sz w:val="21"/>
          <w:szCs w:val="21"/>
        </w:rPr>
        <w:t xml:space="preserve">Still log it.</w:t>
      </w:r>
    </w:p>
    <w:p>
      <w:pPr>
        <w:pStyle w:val="Heading1"/>
        <w:pBdr>
          <w:bottom w:val="single" w:color="14685E" w:sz="8" w:space="6"/>
        </w:pBdr>
        <w:spacing w:after="150" w:before="300"/>
      </w:pPr>
      <w:r>
        <w:rPr>
          <w:rFonts w:ascii="Calibri" w:cs="Calibri" w:eastAsia="Calibri" w:hAnsi="Calibri"/>
          <w:b/>
          <w:bCs/>
          <w:color w:val="1F3352"/>
          <w:sz w:val="27"/>
          <w:szCs w:val="27"/>
        </w:rPr>
        <w:t xml:space="preserve">The count keeps itself</w:t>
      </w:r>
    </w:p>
    <w:p>
      <w:pPr>
        <w:spacing w:after="120" w:line="276"/>
      </w:pPr>
      <w:r>
        <w:rPr>
          <w:rFonts w:ascii="Calibri" w:cs="Calibri" w:eastAsia="Calibri" w:hAnsi="Calibri"/>
          <w:color w:val="20242C"/>
          <w:sz w:val="21"/>
          <w:szCs w:val="21"/>
        </w:rPr>
        <w:t xml:space="preserve">Staff submit missed punches from their phone in PRSFlo. The app timestamps the submission, so it already knows whether they told you same day, told you late, or never told you at all.</w:t>
      </w:r>
    </w:p>
    <w:p>
      <w:pPr>
        <w:spacing w:after="120" w:line="276"/>
      </w:pPr>
      <w:r>
        <w:rPr>
          <w:rFonts w:ascii="Calibri" w:cs="Calibri" w:eastAsia="Calibri" w:hAnsi="Calibri"/>
          <w:b/>
          <w:bCs/>
          <w:color w:val="20242C"/>
          <w:sz w:val="21"/>
          <w:szCs w:val="21"/>
        </w:rPr>
        <w:t xml:space="preserve">You do not tally anything.</w:t>
      </w:r>
      <w:r>
        <w:rPr>
          <w:rFonts w:ascii="Calibri" w:cs="Calibri" w:eastAsia="Calibri" w:hAnsi="Calibri"/>
          <w:color w:val="20242C"/>
          <w:sz w:val="21"/>
          <w:szCs w:val="21"/>
        </w:rPr>
        <w:t xml:space="preserve"> Their 90-day count sits on their record. Your job is the conversation, not the bookkeeping.</w:t>
      </w:r>
    </w:p>
    <w:p>
      <w:pPr>
        <w:spacing w:after="60"/>
      </w:pPr>
    </w:p>
    <w:p>
      <w:pPr>
        <w:spacing w:after="120" w:line="276"/>
      </w:pPr>
      <w:r>
        <w:rPr>
          <w:rFonts w:ascii="Calibri" w:cs="Calibri" w:eastAsia="Calibri" w:hAnsi="Calibri"/>
          <w:color w:val="20242C"/>
          <w:sz w:val="21"/>
          <w:szCs w:val="21"/>
        </w:rPr>
        <w:t xml:space="preserve">Two late reports = one counted miss.</w:t>
      </w:r>
    </w:p>
    <w:p>
      <w:pPr>
        <w:spacing w:after="90"/>
      </w:pP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Until PRSFlo ships</w:t>
            </w:r>
          </w:p>
          <w:p>
            <w:pPr>
              <w:spacing w:after="70" w:line="264"/>
            </w:pPr>
            <w:r>
              <w:rPr>
                <w:rFonts w:ascii="Calibri" w:cs="Calibri" w:eastAsia="Calibri" w:hAnsi="Calibri"/>
                <w:color w:val="20242C"/>
                <w:sz w:val="20"/>
                <w:szCs w:val="20"/>
              </w:rPr>
              <w:t xml:space="preserve">Log each miss by hand in the shared Missed Punch Log: </w:t>
            </w:r>
            <w:r>
              <w:rPr>
                <w:rFonts w:ascii="Calibri" w:cs="Calibri" w:eastAsia="Calibri" w:hAnsi="Calibri"/>
                <w:b/>
                <w:bCs/>
                <w:color w:val="20242C"/>
                <w:sz w:val="20"/>
                <w:szCs w:val="20"/>
              </w:rPr>
              <w:t xml:space="preserve">date · who · which punch · how you found out · counts yes/no.</w:t>
            </w:r>
          </w:p>
          <w:p>
            <w:pPr>
              <w:spacing w:after="0" w:line="264"/>
            </w:pPr>
            <w:r>
              <w:rPr>
                <w:rFonts w:ascii="Calibri" w:cs="Calibri" w:eastAsia="Calibri" w:hAnsi="Calibri"/>
                <w:color w:val="20242C"/>
                <w:sz w:val="20"/>
                <w:szCs w:val="20"/>
              </w:rPr>
              <w:t xml:space="preserve">Do it during the daily timecard review, not at the end of the week — "how you found out" is the column that matters and it gets fuzzy fast.</w:t>
            </w:r>
          </w:p>
        </w:tc>
      </w:tr>
    </w:tbl>
    <w:p>
      <w:pPr>
        <w:pStyle w:val="Heading1"/>
        <w:pBdr>
          <w:bottom w:val="single" w:color="14685E" w:sz="8" w:space="6"/>
        </w:pBdr>
        <w:spacing w:after="150" w:before="300"/>
      </w:pPr>
      <w:r>
        <w:rPr>
          <w:rFonts w:ascii="Calibri" w:cs="Calibri" w:eastAsia="Calibri" w:hAnsi="Calibri"/>
          <w:b/>
          <w:bCs/>
          <w:color w:val="1F3352"/>
          <w:sz w:val="27"/>
          <w:szCs w:val="27"/>
        </w:rPr>
        <w:t xml:space="preserve">Straight to Eli — not the ladder</w:t>
      </w:r>
    </w:p>
    <w:p>
      <w:pPr>
        <w:pStyle w:val="ListParagraph"/>
        <w:numPr>
          <w:ilvl w:val="0"/>
          <w:numId w:val="2"/>
        </w:numPr>
        <w:spacing w:after="60" w:line="264"/>
      </w:pPr>
      <w:r>
        <w:rPr>
          <w:rFonts w:ascii="Calibri" w:cs="Calibri" w:eastAsia="Calibri" w:hAnsi="Calibri"/>
          <w:color w:val="20242C"/>
          <w:sz w:val="21"/>
          <w:szCs w:val="21"/>
        </w:rPr>
        <w:t xml:space="preserve">Punching for someone else, or asking them to</w:t>
      </w:r>
    </w:p>
    <w:p>
      <w:pPr>
        <w:pStyle w:val="ListParagraph"/>
        <w:numPr>
          <w:ilvl w:val="0"/>
          <w:numId w:val="2"/>
        </w:numPr>
        <w:spacing w:after="60" w:line="264"/>
      </w:pPr>
      <w:r>
        <w:rPr>
          <w:rFonts w:ascii="Calibri" w:cs="Calibri" w:eastAsia="Calibri" w:hAnsi="Calibri"/>
          <w:color w:val="20242C"/>
          <w:sz w:val="21"/>
          <w:szCs w:val="21"/>
        </w:rPr>
        <w:t xml:space="preserve">Reporting hours they didn't work</w:t>
      </w:r>
    </w:p>
    <w:p>
      <w:pPr>
        <w:pStyle w:val="ListParagraph"/>
        <w:numPr>
          <w:ilvl w:val="0"/>
          <w:numId w:val="2"/>
        </w:numPr>
        <w:spacing w:after="60" w:line="264"/>
      </w:pPr>
      <w:r>
        <w:rPr>
          <w:rFonts w:ascii="Calibri" w:cs="Calibri" w:eastAsia="Calibri" w:hAnsi="Calibri"/>
          <w:color w:val="20242C"/>
          <w:sz w:val="21"/>
          <w:szCs w:val="21"/>
        </w:rPr>
        <w:t xml:space="preserve">Won't confirm their hours when asked</w:t>
      </w:r>
    </w:p>
    <w:p>
      <w:pPr>
        <w:pStyle w:val="ListParagraph"/>
        <w:numPr>
          <w:ilvl w:val="0"/>
          <w:numId w:val="2"/>
        </w:numPr>
        <w:spacing w:after="60" w:line="264"/>
      </w:pPr>
      <w:r>
        <w:rPr>
          <w:rFonts w:ascii="Calibri" w:cs="Calibri" w:eastAsia="Calibri" w:hAnsi="Calibri"/>
          <w:color w:val="20242C"/>
          <w:sz w:val="21"/>
          <w:szCs w:val="21"/>
        </w:rPr>
        <w:t xml:space="preserve">Misses clustering right at </w:t>
      </w:r>
      <w:r>
        <w:rPr>
          <w:rFonts w:ascii="Calibri" w:cs="Calibri" w:eastAsia="Calibri" w:hAnsi="Calibri"/>
          <w:b/>
          <w:bCs/>
          <w:color w:val="20242C"/>
          <w:sz w:val="21"/>
          <w:szCs w:val="21"/>
        </w:rPr>
        <w:t xml:space="preserve">overtime or meal-break deadlines</w:t>
      </w:r>
    </w:p>
    <w:p>
      <w:pPr>
        <w:pStyle w:val="Heading1"/>
        <w:pBdr>
          <w:bottom w:val="single" w:color="14685E" w:sz="8" w:space="6"/>
        </w:pBdr>
        <w:spacing w:after="150" w:before="300"/>
      </w:pPr>
      <w:r>
        <w:rPr>
          <w:rFonts w:ascii="Calibri" w:cs="Calibri" w:eastAsia="Calibri" w:hAnsi="Calibri"/>
          <w:b/>
          <w:bCs/>
          <w:color w:val="1F3352"/>
          <w:sz w:val="27"/>
          <w:szCs w:val="27"/>
        </w:rPr>
        <w:t xml:space="preserve">Monthly</w:t>
      </w:r>
    </w:p>
    <w:p>
      <w:pPr>
        <w:pStyle w:val="ListParagraph"/>
        <w:numPr>
          <w:ilvl w:val="0"/>
          <w:numId w:val="2"/>
        </w:numPr>
        <w:spacing w:after="60" w:line="264"/>
      </w:pPr>
      <w:r>
        <w:rPr>
          <w:rFonts w:ascii="Calibri" w:cs="Calibri" w:eastAsia="Calibri" w:hAnsi="Calibri"/>
          <w:color w:val="20242C"/>
          <w:sz w:val="21"/>
          <w:szCs w:val="21"/>
        </w:rPr>
        <w:t xml:space="preserve">Name everyone with </w:t>
      </w:r>
      <w:r>
        <w:rPr>
          <w:rFonts w:ascii="Calibri" w:cs="Calibri" w:eastAsia="Calibri" w:hAnsi="Calibri"/>
          <w:b/>
          <w:bCs/>
          <w:color w:val="20242C"/>
          <w:sz w:val="21"/>
          <w:szCs w:val="21"/>
        </w:rPr>
        <w:t xml:space="preserve">zero counted misses</w:t>
      </w:r>
      <w:r>
        <w:rPr>
          <w:rFonts w:ascii="Calibri" w:cs="Calibri" w:eastAsia="Calibri" w:hAnsi="Calibri"/>
          <w:color w:val="20242C"/>
          <w:sz w:val="21"/>
          <w:szCs w:val="21"/>
        </w:rPr>
        <w:t xml:space="preserve"> at the team meeting. No prize needed.</w:t>
      </w:r>
    </w:p>
    <w:p>
      <w:pPr>
        <w:pStyle w:val="ListParagraph"/>
        <w:numPr>
          <w:ilvl w:val="0"/>
          <w:numId w:val="2"/>
        </w:numPr>
        <w:spacing w:after="60" w:line="264"/>
      </w:pPr>
      <w:r>
        <w:rPr>
          <w:rFonts w:ascii="Calibri" w:cs="Calibri" w:eastAsia="Calibri" w:hAnsi="Calibri"/>
          <w:color w:val="20242C"/>
          <w:sz w:val="21"/>
          <w:szCs w:val="21"/>
        </w:rPr>
        <w:t xml:space="preserve">Self-reporting counts as clean — four misses all reported same day is a clean month.</w:t>
      </w:r>
    </w:p>
    <w:p>
      <w:pPr>
        <w:pStyle w:val="ListParagraph"/>
        <w:numPr>
          <w:ilvl w:val="0"/>
          <w:numId w:val="2"/>
        </w:numPr>
        <w:spacing w:after="60" w:line="264"/>
      </w:pPr>
      <w:r>
        <w:rPr>
          <w:rFonts w:ascii="Calibri" w:cs="Calibri" w:eastAsia="Calibri" w:hAnsi="Calibri"/>
          <w:color w:val="20242C"/>
          <w:sz w:val="21"/>
          <w:szCs w:val="21"/>
        </w:rPr>
        <w:t xml:space="preserve">Staff see their own clean-shift streak in PRSFlo. Point at that, not at the ladder.</w:t>
      </w:r>
    </w:p>
    <w:p>
      <w:pPr>
        <w:pStyle w:val="Heading1"/>
        <w:pBdr>
          <w:bottom w:val="single" w:color="14685E" w:sz="8" w:space="6"/>
        </w:pBdr>
        <w:spacing w:after="150" w:before="300"/>
      </w:pPr>
      <w:r>
        <w:rPr>
          <w:rFonts w:ascii="Calibri" w:cs="Calibri" w:eastAsia="Calibri" w:hAnsi="Calibri"/>
          <w:b/>
          <w:bCs/>
          <w:color w:val="1F3352"/>
          <w:sz w:val="27"/>
          <w:szCs w:val="27"/>
        </w:rPr>
        <w:t xml:space="preserve">The one number Eli wants</w:t>
      </w:r>
    </w:p>
    <w:tbl>
      <w:tblPr>
        <w:tblW w:type="dxa" w:w="9360"/>
        <w:tblBorders>
          <w:top w:val="single" w:color="14685E" w:sz="4"/>
          <w:left w:val="single" w:color="14685E" w:sz="22"/>
          <w:bottom w:val="single" w:color="14685E" w:sz="4"/>
          <w:right w:val="single" w:color="14685E" w:sz="4"/>
          <w:insideH w:val="none"/>
          <w:insideV w:val="none"/>
        </w:tblBorders>
      </w:tblPr>
      <w:tblGrid>
        <w:gridCol w:w="9360"/>
      </w:tblGrid>
      <w:tr>
        <w:tc>
          <w:tcPr>
            <w:tcW w:type="dxa" w:w="9360"/>
            <w:shd w:fill="E8F3F0" w:val="clear"/>
            <w:tcMar>
              <w:top w:type="dxa" w:w="130"/>
              <w:left w:type="dxa" w:w="170"/>
              <w:bottom w:type="dxa" w:w="130"/>
              <w:right w:type="dxa" w:w="170"/>
            </w:tcMar>
          </w:tcPr>
          <w:p>
            <w:pPr>
              <w:spacing w:after="70" w:line="264"/>
            </w:pPr>
            <w:r>
              <w:rPr>
                <w:rFonts w:ascii="Calibri" w:cs="Calibri" w:eastAsia="Calibri" w:hAnsi="Calibri"/>
                <w:b/>
                <w:bCs/>
                <w:color w:val="20242C"/>
                <w:sz w:val="20"/>
                <w:szCs w:val="20"/>
              </w:rPr>
              <w:t xml:space="preserve">% of misses the employee reported themselves, same day. Target 80%.</w:t>
            </w:r>
          </w:p>
          <w:p>
            <w:pPr>
              <w:spacing w:after="0" w:line="264"/>
            </w:pPr>
            <w:r>
              <w:rPr>
                <w:rFonts w:ascii="Calibri" w:cs="Calibri" w:eastAsia="Calibri" w:hAnsi="Calibri"/>
                <w:color w:val="20242C"/>
                <w:sz w:val="20"/>
                <w:szCs w:val="20"/>
              </w:rPr>
              <w:t xml:space="preserve">Total misses will never hit zero — sessions run long. Self-reporting is the thing we can actually move.</w:t>
            </w:r>
          </w:p>
        </w:tc>
      </w:tr>
    </w:tbl>
    <w:p>
      <w:pPr>
        <w:spacing w:after="190"/>
      </w:pPr>
    </w:p>
    <w:tbl>
      <w:tblPr>
        <w:tblW w:type="dxa" w:w="9360"/>
        <w:tblBorders>
          <w:top w:val="single" w:color="8A93A0" w:sz="4"/>
          <w:left w:val="single" w:color="8A93A0" w:sz="22"/>
          <w:bottom w:val="single" w:color="8A93A0" w:sz="4"/>
          <w:right w:val="single" w:color="8A93A0" w:sz="4"/>
          <w:insideH w:val="none"/>
          <w:insideV w:val="none"/>
        </w:tblBorders>
      </w:tblPr>
      <w:tblGrid>
        <w:gridCol w:w="9360"/>
      </w:tblGrid>
      <w:tr>
        <w:tc>
          <w:tcPr>
            <w:tcW w:type="dxa" w:w="9360"/>
            <w:shd w:fill="F2F4F7" w:val="clear"/>
            <w:tcMar>
              <w:top w:type="dxa" w:w="130"/>
              <w:left w:type="dxa" w:w="170"/>
              <w:bottom w:type="dxa" w:w="130"/>
              <w:right w:type="dxa" w:w="170"/>
            </w:tcMar>
          </w:tcPr>
          <w:p>
            <w:pPr>
              <w:spacing w:after="80"/>
            </w:pPr>
            <w:r>
              <w:rPr>
                <w:rFonts w:ascii="Calibri" w:cs="Calibri" w:eastAsia="Calibri" w:hAnsi="Calibri"/>
                <w:b/>
                <w:bCs/>
                <w:color w:val="1F3352"/>
                <w:sz w:val="21"/>
                <w:szCs w:val="21"/>
              </w:rPr>
              <w:t xml:space="preserve">Need more?</w:t>
            </w:r>
          </w:p>
          <w:p>
            <w:pPr>
              <w:spacing w:after="0" w:line="264"/>
            </w:pPr>
            <w:r>
              <w:rPr>
                <w:rFonts w:ascii="Calibri" w:cs="Calibri" w:eastAsia="Calibri" w:hAnsi="Calibri"/>
                <w:color w:val="20242C"/>
                <w:sz w:val="20"/>
                <w:szCs w:val="20"/>
              </w:rPr>
              <w:t xml:space="preserve">Conversation scripts, the legal reasons behind "never dock pay," and why this is built around self-reporting → </w:t>
            </w:r>
            <w:r>
              <w:rPr>
                <w:rFonts w:ascii="Calibri" w:cs="Calibri" w:eastAsia="Calibri" w:hAnsi="Calibri"/>
                <w:b/>
                <w:bCs/>
                <w:color w:val="20242C"/>
                <w:sz w:val="20"/>
                <w:szCs w:val="20"/>
              </w:rPr>
              <w:t xml:space="preserve">PRG-R03</w:t>
            </w:r>
            <w:r>
              <w:rPr>
                <w:rFonts w:ascii="Calibri" w:cs="Calibri" w:eastAsia="Calibri" w:hAnsi="Calibri"/>
                <w:color w:val="20242C"/>
                <w:sz w:val="20"/>
                <w:szCs w:val="20"/>
              </w:rPr>
              <w:t xml:space="preserve">.</w:t>
            </w:r>
          </w:p>
        </w:tc>
      </w:tr>
    </w:tbl>
    <w:sectPr>
      <w:headerReference w:type="default" r:id="rId7"/>
      <w:footerReference w:type="default" r:id="rId8"/>
      <w:pgSz w:w="12240" w:h="15840" w:orient="portrait"/>
      <w:pgMar w:top="1000" w:right="1440" w:bottom="1000" w:left="1440" w:header="60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5F6B"/>
        <w:sz w:val="15"/>
        <w:szCs w:val="15"/>
      </w:rPr>
      <w:t xml:space="preserve">PRG-P03  ·  Rev. 3.0  ·  August 2026  ·  Page </w:t>
    </w:r>
    <w:r>
      <w:rPr>
        <w:rFonts w:ascii="Calibri" w:cs="Calibri" w:eastAsia="Calibri" w:hAnsi="Calibri"/>
        <w:color w:val="5A5F6B"/>
        <w:sz w:val="15"/>
        <w:szCs w:val="15"/>
      </w:rPr>
      <w:fldChar w:fldCharType="begin"/>
      <w:instrText xml:space="preserve">PAGE</w:instrText>
      <w:fldChar w:fldCharType="separate"/>
      <w:fldChar w:fldCharType="end"/>
    </w:r>
    <w:r>
      <w:rPr>
        <w:rFonts w:ascii="Calibri" w:cs="Calibri" w:eastAsia="Calibri" w:hAnsi="Calibri"/>
        <w:color w:val="5A5F6B"/>
        <w:sz w:val="15"/>
        <w:szCs w:val="15"/>
      </w:rPr>
      <w:t xml:space="preserve"> of </w:t>
    </w:r>
    <w:r>
      <w:rPr>
        <w:rFonts w:ascii="Calibri" w:cs="Calibri" w:eastAsia="Calibri" w:hAnsi="Calibri"/>
        <w:color w:val="5A5F6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DD6" w:sz="4" w:space="4"/>
      </w:pBdr>
      <w:spacing w:after="0"/>
    </w:pPr>
    <w:r>
      <w:rPr>
        <w:rFonts w:ascii="Calibri" w:cs="Calibri" w:eastAsia="Calibri" w:hAnsi="Calibri"/>
        <w:b/>
        <w:bCs/>
        <w:color w:val="1F3352"/>
        <w:spacing w:val="30"/>
        <w:sz w:val="15"/>
        <w:szCs w:val="15"/>
      </w:rPr>
      <w:t xml:space="preserve">PARAMOUNT RECORDING GROUP</w:t>
    </w:r>
    <w:r>
      <w:rPr>
        <w:rFonts w:ascii="Calibri" w:cs="Calibri" w:eastAsia="Calibri" w:hAnsi="Calibri"/>
        <w:color w:val="5A5F6B"/>
        <w:sz w:val="15"/>
        <w:szCs w:val="15"/>
      </w:rPr>
      <w:t xml:space="preserve">  |  PRG-P03 — Missed Punches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73"/>
      </w:pPr>
    </w:lvl>
  </w:abstractNum>
  <w:abstractNum w:abstractNumId="3" w15:restartNumberingAfterBreak="0">
    <w:multiLevelType w:val="hybridMultilevel"/>
    <w:lvl w:ilvl="0" w15:tentative="1">
      <w:start w:val="1"/>
      <w:numFmt w:val="bullet"/>
      <w:lvlText w:val="□"/>
      <w:lvlJc w:val="left"/>
      <w:pPr>
        <w:ind w:left="460" w:hanging="302"/>
      </w:pPr>
    </w:lvl>
  </w:abstractNum>
  <w:abstractNum w:abstractNumId="4" w15:restartNumberingAfterBreak="0">
    <w:multiLevelType w:val="hybridMultilevel"/>
    <w:lvl w:ilvl="0" w15:tentative="1">
      <w:start w:val="1"/>
      <w:numFmt w:val="decimal"/>
      <w:lvlText w:val="%1."/>
      <w:lvlJc w:val="left"/>
      <w:pPr>
        <w:ind w:left="460"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2026-08-06T22:17:53.196Z</dcterms:created>
  <dcterms:modified xsi:type="dcterms:W3CDTF">2026-08-06T22:17:53.196Z</dcterms:modified>
</cp:coreProperties>
</file>

<file path=docProps/custom.xml><?xml version="1.0" encoding="utf-8"?>
<Properties xmlns="http://schemas.openxmlformats.org/officeDocument/2006/custom-properties" xmlns:vt="http://schemas.openxmlformats.org/officeDocument/2006/docPropsVTypes"/>
</file>