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4685E"/>
          <w:spacing w:val="40"/>
          <w:sz w:val="19"/>
          <w:szCs w:val="19"/>
        </w:rPr>
        <w:t xml:space="preserve">PRG-P04</w:t>
      </w:r>
      <w:r>
        <w:rPr>
          <w:rFonts w:ascii="Calibri" w:cs="Calibri" w:eastAsia="Calibri" w:hAnsi="Calibri"/>
          <w:b/>
          <w:bCs/>
          <w:color w:val="5A5F6B"/>
          <w:spacing w:val="30"/>
          <w:sz w:val="15"/>
          <w:szCs w:val="15"/>
        </w:rPr>
        <w:t xml:space="preserve">      PROTOCOL — HOW TO DO IT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3352"/>
          <w:sz w:val="38"/>
          <w:szCs w:val="38"/>
        </w:rPr>
        <w:t xml:space="preserve">Required Training Records</w:t>
      </w:r>
    </w:p>
    <w:p>
      <w:pPr>
        <w:pBdr>
          <w:bottom w:val="single" w:color="14685E" w:sz="14" w:space="8"/>
        </w:pBdr>
        <w:spacing w:after="200"/>
      </w:pPr>
      <w:r>
        <w:rPr>
          <w:rFonts w:ascii="Calibri" w:cs="Calibri" w:eastAsia="Calibri" w:hAnsi="Calibri"/>
          <w:i/>
          <w:iCs/>
          <w:color w:val="5A5F6B"/>
          <w:sz w:val="21"/>
          <w:szCs w:val="21"/>
        </w:rPr>
        <w:t xml:space="preserve">Fernando — harassment and workplace violence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Owner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Fernando · oversight Eli</w:t>
            </w:r>
          </w:p>
        </w:tc>
      </w:tr>
      <w:tr>
        <w:tc>
          <w:tcPr>
            <w:tcW w:type="dxa" w:w="21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</w:t>
            </w:r>
          </w:p>
        </w:tc>
        <w:tc>
          <w:tcPr>
            <w:tcW w:type="dxa" w:w="72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Every 2 years ·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everyone by Jan 1, 2027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Workplace violence</w:t>
            </w:r>
          </w:p>
        </w:tc>
        <w:tc>
          <w:tcPr>
            <w:tcW w:type="dxa" w:w="7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At hire, then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21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2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PRG-R04</w:t>
            </w:r>
          </w:p>
        </w:tc>
      </w:tr>
    </w:tbl>
    <w:p>
      <w:pPr>
        <w:spacing w:after="190"/>
      </w:pPr>
    </w:p>
    <w:tbl>
      <w:tblPr>
        <w:tblW w:type="dxa" w:w="9360"/>
        <w:tblBorders>
          <w:top w:val="single" w:color="C9822B" w:sz="4"/>
          <w:left w:val="single" w:color="C9822B" w:sz="22"/>
          <w:bottom w:val="single" w:color="C9822B" w:sz="4"/>
          <w:right w:val="single" w:color="C982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3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Two separate trainings. Two separate clocks. One tracker.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Harassment — every 2 years · everyone trained by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Jan 1, 2027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Workplace violence —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at hire, then every year</w:t>
            </w:r>
          </w:p>
        </w:tc>
      </w:tr>
    </w:tbl>
    <w:p>
      <w:pPr>
        <w:spacing w:after="190"/>
      </w:pP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The tracker</w:t>
      </w: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One row per employee in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PRSFlo › HR › Training.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Due dates calculate themselves; certificates upload to the row. Until it ships, run the same columns in a shared spreadsheet with certificates in a drive folder — the columns are identical, so it imports later.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8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goes in it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Name / Studio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PRS · ARS · ERS · TRK</w:t>
            </w:r>
          </w:p>
        </w:tc>
      </w:tr>
      <w:tr>
        <w:tc>
          <w:tcPr>
            <w:tcW w:type="dxa" w:w="25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Hire date</w:t>
            </w:r>
          </w:p>
        </w:tc>
        <w:tc>
          <w:tcPr>
            <w:tcW w:type="dxa" w:w="68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Drives the 6-month harassment deadline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Supervisor?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Yes = 2 hr harassment · No = 1 hr</w:t>
            </w:r>
          </w:p>
        </w:tc>
      </w:tr>
      <w:tr>
        <w:tc>
          <w:tcPr>
            <w:tcW w:type="dxa" w:w="25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Became supervisor</w:t>
            </w:r>
          </w:p>
        </w:tc>
        <w:tc>
          <w:tcPr>
            <w:tcW w:type="dxa" w:w="68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If promoted — starts a fresh 6-month clock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— last done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5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— certificate</w:t>
            </w:r>
          </w:p>
        </w:tc>
        <w:tc>
          <w:tcPr>
            <w:tcW w:type="dxa" w:w="68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Yes / No + where it's filed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— next due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Last +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2 years</w:t>
            </w:r>
          </w:p>
        </w:tc>
      </w:tr>
      <w:tr>
        <w:tc>
          <w:tcPr>
            <w:tcW w:type="dxa" w:w="25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WPV — last done</w:t>
            </w:r>
          </w:p>
        </w:tc>
        <w:tc>
          <w:tcPr>
            <w:tcW w:type="dxa" w:w="68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WPV — next due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Last +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5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Current / Due in 90 days /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Overdue</w:t>
            </w:r>
          </w:p>
        </w:tc>
      </w:tr>
    </w:tbl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Between now and December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81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Aug</w:t>
            </w:r>
          </w:p>
        </w:tc>
        <w:tc>
          <w:tcPr>
            <w:tcW w:type="dxa" w:w="8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Build the tracker — all ~15 people. Mark each supervisory or not. Find their last training dates.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No record = untrained.</w:t>
            </w:r>
          </w:p>
        </w:tc>
      </w:tr>
      <w:tr>
        <w:tc>
          <w:tcPr>
            <w:tcW w:type="dxa" w:w="12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Aug</w:t>
            </w:r>
          </w:p>
        </w:tc>
        <w:tc>
          <w:tcPr>
            <w:tcW w:type="dxa" w:w="81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Confirm we have: a written harassment policy staff have signed, a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written Workplace Violence Prevention Plan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, and the CRD poster up at all four studios.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Sep</w:t>
            </w:r>
          </w:p>
        </w:tc>
        <w:tc>
          <w:tcPr>
            <w:tcW w:type="dxa" w:w="8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Assign both trainings. Tell everyone: it's on paid time, and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save your certificate immediately.</w:t>
            </w:r>
          </w:p>
        </w:tc>
      </w:tr>
      <w:tr>
        <w:tc>
          <w:tcPr>
            <w:tcW w:type="dxa" w:w="12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Sep–Nov</w:t>
            </w:r>
          </w:p>
        </w:tc>
        <w:tc>
          <w:tcPr>
            <w:tcW w:type="dxa" w:w="81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Chase stragglers every two weeks. File certificates as they arrive.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Dec 1</w:t>
            </w:r>
          </w:p>
        </w:tc>
        <w:tc>
          <w:tcPr>
            <w:tcW w:type="dxa" w:w="8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Everyone done.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One month of buffer before the legal deadline.</w:t>
            </w:r>
          </w:p>
        </w:tc>
      </w:tr>
      <w:tr>
        <w:tc>
          <w:tcPr>
            <w:tcW w:type="dxa" w:w="12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Quarterly</w:t>
            </w:r>
          </w:p>
        </w:tc>
        <w:tc>
          <w:tcPr>
            <w:tcW w:type="dxa" w:w="81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Jan 1 · Apr 1 · Jul 1 · Oct 1 — pull the tracker, flag anyone due in 90 days.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Annually</w:t>
            </w:r>
          </w:p>
        </w:tc>
        <w:tc>
          <w:tcPr>
            <w:tcW w:type="dxa" w:w="8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Review the WPV plan itself for effectiveness, with employee input. Required.</w:t>
            </w:r>
          </w:p>
        </w:tc>
      </w:tr>
    </w:tbl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Supervisor or not?</w:t>
      </w: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Anyone who can hire, assign, discipline,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or just direct other people's work.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Title doesn't matter.</w:t>
      </w: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Owners, managers, assistant managers, and anyone running runners or techs are all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supervisors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Not sure? Call them a supervisor.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The extra hour is free; getting it wrong is not.</w:t>
      </w:r>
    </w:p>
    <w:p>
      <w:pPr>
        <w:spacing w:after="5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ADP has a Manager classification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set when an employee record is created — use it as a starting point for who gets the 2-hour course. Check it against the definition above rather than trusting it, since it was set for ADP's purposes, not this one.</w:t>
      </w: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What starts a clock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63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New hire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6 months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· WPV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at hire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Promoted to supervisor</w:t>
            </w:r>
          </w:p>
        </w:tc>
        <w:tc>
          <w:tcPr>
            <w:tcW w:type="dxa" w:w="63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2-hr harassment course within 6 months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— even if they just did the 1-hr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Short-term hire (under 6 months)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within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30 days or 100 hours worked, whichever is first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Trained elsewhere in last 2 years</w:t>
            </w:r>
          </w:p>
        </w:tc>
        <w:tc>
          <w:tcPr>
            <w:tcW w:type="dxa" w:w="63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No harassment retraining. Verify it was compliant, have them sign our policy, track from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their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date.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Anniversary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every 2 years · WPV every year</w:t>
            </w:r>
          </w:p>
        </w:tc>
      </w:tr>
    </w:tbl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Harassment — CRD free courses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calcivilrights.ca.gov/shpt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— free, state-made, compliant. Six languages.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Everyone does it alone.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You cannot play it for a room.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Save the certificate or retake the whole thing.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CRD doesn't reissue.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Paid work time. Book the room, block the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Questions about the content come to you, not to CRD.</w:t>
      </w: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Workplace violence — what documenting it means</w:t>
      </w: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WPV is not just a training. Four things have to exist and be kept: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Written WPV plan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— reviewed annually, with employee involvement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Violent incident log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— every incident: date, time, location, type, consequences, details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Training records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— dates, what was covered, who taught it and their qualifications, attendee names and job titles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Hazard records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— identification, evaluation, and correction of workplace violence hazards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Employees can request any of these. We must provide them free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within 15 calendar days.</w:t>
      </w: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The plan, the log, and the annual review live in </w:t>
      </w:r>
      <w:r>
        <w:rPr>
          <w:rFonts w:ascii="Calibri" w:cs="Calibri" w:eastAsia="Calibri" w:hAnsi="Calibri"/>
          <w:b/>
          <w:bCs/>
          <w:color w:val="20242C"/>
          <w:sz w:val="21"/>
          <w:szCs w:val="21"/>
        </w:rPr>
        <w:t xml:space="preserve">PRSFlo › HR › Workplace violence.</w:t>
      </w:r>
      <w:r>
        <w:rPr>
          <w:rFonts w:ascii="Calibri" w:cs="Calibri" w:eastAsia="Calibri" w:hAnsi="Calibri"/>
          <w:color w:val="20242C"/>
          <w:sz w:val="21"/>
          <w:szCs w:val="21"/>
        </w:rPr>
        <w:t xml:space="preserve"> The log is a table you hope stays empty — but it has to exist either way.</w:t>
      </w:r>
    </w:p>
    <w:p>
      <w:pPr>
        <w:pStyle w:val="Heading1"/>
        <w:pBdr>
          <w:bottom w:val="single" w:color="14685E" w:sz="8" w:space="6"/>
        </w:pBdr>
        <w:spacing w:after="150" w:before="300"/>
      </w:pPr>
      <w:r>
        <w:rPr>
          <w:rFonts w:ascii="Calibri" w:cs="Calibri" w:eastAsia="Calibri" w:hAnsi="Calibri"/>
          <w:b/>
          <w:bCs/>
          <w:color w:val="1F3352"/>
          <w:sz w:val="27"/>
          <w:szCs w:val="27"/>
        </w:rPr>
        <w:t xml:space="preserve">How long to keep things</w:t>
      </w:r>
    </w:p>
    <w:tbl>
      <w:tblPr>
        <w:tblW w:type="dxa" w:w="9360"/>
        <w:tblBorders>
          <w:top w:val="single" w:color="B9C1CC" w:sz="2"/>
          <w:left w:val="single" w:color="B9C1CC" w:sz="2"/>
          <w:bottom w:val="single" w:color="B9C1CC" w:sz="2"/>
          <w:right w:val="single" w:color="B9C1CC" w:sz="2"/>
          <w:insideH w:val="single" w:color="D8DEE6" w:sz="2"/>
          <w:insideV w:val="single" w:color="D8DEE6" w:sz="2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Record</w:t>
            </w:r>
          </w:p>
        </w:tc>
        <w:tc>
          <w:tcPr>
            <w:tcW w:type="dxa" w:w="3960"/>
            <w:shd w:fill="1F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Keep for</w:t>
            </w:r>
          </w:p>
        </w:tc>
      </w:tr>
      <w:tr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Harassment training records</w:t>
            </w:r>
          </w:p>
        </w:tc>
        <w:tc>
          <w:tcPr>
            <w:tcW w:type="dxa" w:w="3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4 years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(PRG standard; legal minimum is 2)</w:t>
            </w:r>
          </w:p>
        </w:tc>
      </w:tr>
      <w:tr>
        <w:tc>
          <w:tcPr>
            <w:tcW w:type="dxa" w:w="54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WPV training records</w:t>
            </w:r>
          </w:p>
        </w:tc>
        <w:tc>
          <w:tcPr>
            <w:tcW w:type="dxa" w:w="39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1 year</w:t>
            </w: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 minimum — keep 4 to match personnel files</w:t>
            </w:r>
          </w:p>
        </w:tc>
      </w:tr>
      <w:tr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Violent incident log</w:t>
            </w:r>
          </w:p>
        </w:tc>
        <w:tc>
          <w:tcPr>
            <w:tcW w:type="dxa" w:w="3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5 years</w:t>
            </w:r>
          </w:p>
        </w:tc>
      </w:tr>
      <w:tr>
        <w:tc>
          <w:tcPr>
            <w:tcW w:type="dxa" w:w="540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WPV hazard identification, evaluation, correction</w:t>
            </w:r>
          </w:p>
        </w:tc>
        <w:tc>
          <w:tcPr>
            <w:tcW w:type="dxa" w:w="3960"/>
            <w:shd w:fill="F6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5 years</w:t>
            </w:r>
          </w:p>
        </w:tc>
      </w:tr>
      <w:tr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20242C"/>
                <w:sz w:val="19"/>
                <w:szCs w:val="19"/>
              </w:rPr>
              <w:t xml:space="preserve">WPV incident investigations</w:t>
            </w:r>
          </w:p>
        </w:tc>
        <w:tc>
          <w:tcPr>
            <w:tcW w:type="dxa" w:w="3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20242C"/>
                <w:sz w:val="19"/>
                <w:szCs w:val="19"/>
              </w:rPr>
              <w:t xml:space="preserve">5 years</w:t>
            </w:r>
          </w:p>
        </w:tc>
      </w:tr>
    </w:tbl>
    <w:p>
      <w:pPr>
        <w:spacing w:after="110"/>
      </w:pPr>
    </w:p>
    <w:p>
      <w:pPr>
        <w:spacing w:after="120" w:line="276"/>
      </w:pPr>
      <w:r>
        <w:rPr>
          <w:rFonts w:ascii="Calibri" w:cs="Calibri" w:eastAsia="Calibri" w:hAnsi="Calibri"/>
          <w:color w:val="20242C"/>
          <w:sz w:val="21"/>
          <w:szCs w:val="21"/>
        </w:rPr>
        <w:t xml:space="preserve">All kept on premises. Nothing gets filed with the state.</w:t>
      </w:r>
    </w:p>
    <w:p>
      <w:pPr>
        <w:spacing w:after="180"/>
      </w:pPr>
    </w:p>
    <w:tbl>
      <w:tblPr>
        <w:tblW w:type="dxa" w:w="9360"/>
        <w:tblBorders>
          <w:top w:val="single" w:color="8A93A0" w:sz="4"/>
          <w:left w:val="single" w:color="8A93A0" w:sz="22"/>
          <w:bottom w:val="single" w:color="8A93A0" w:sz="4"/>
          <w:right w:val="single" w:color="8A93A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352"/>
                <w:sz w:val="21"/>
                <w:szCs w:val="21"/>
              </w:rPr>
              <w:t xml:space="preserve">Need more?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The two laws, CRD vs. paid vendor, whether our studios are even covered by the WPV rule, and the mistakes that catch employers → </w:t>
            </w:r>
            <w:r>
              <w:rPr>
                <w:rFonts w:ascii="Calibri" w:cs="Calibri" w:eastAsia="Calibri" w:hAnsi="Calibri"/>
                <w:b/>
                <w:bCs/>
                <w:color w:val="20242C"/>
                <w:sz w:val="20"/>
                <w:szCs w:val="20"/>
              </w:rPr>
              <w:t xml:space="preserve">PRG-R04</w:t>
            </w:r>
            <w:r>
              <w:rPr>
                <w:rFonts w:ascii="Calibri" w:cs="Calibri" w:eastAsia="Calibri" w:hAnsi="Calibri"/>
                <w:color w:val="20242C"/>
                <w:sz w:val="20"/>
                <w:szCs w:val="20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440" w:bottom="1000" w:left="1440" w:header="60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F6B"/>
        <w:sz w:val="15"/>
        <w:szCs w:val="15"/>
      </w:rPr>
      <w:t xml:space="preserve">PRG-P04  ·  Rev. 3.0  ·  August 2026  ·  Page </w:t>
    </w:r>
    <w:r>
      <w:rPr>
        <w:rFonts w:ascii="Calibri" w:cs="Calibri" w:eastAsia="Calibri" w:hAnsi="Calibri"/>
        <w:color w:val="5A5F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F6B"/>
        <w:sz w:val="15"/>
        <w:szCs w:val="15"/>
      </w:rPr>
      <w:t xml:space="preserve"> of </w:t>
    </w:r>
    <w:r>
      <w:rPr>
        <w:rFonts w:ascii="Calibri" w:cs="Calibri" w:eastAsia="Calibri" w:hAnsi="Calibri"/>
        <w:color w:val="5A5F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DD6" w:sz="4" w:space="4"/>
      </w:pBdr>
      <w:spacing w:after="0"/>
    </w:pPr>
    <w:r>
      <w:rPr>
        <w:rFonts w:ascii="Calibri" w:cs="Calibri" w:eastAsia="Calibri" w:hAnsi="Calibri"/>
        <w:b/>
        <w:bCs/>
        <w:color w:val="1F3352"/>
        <w:spacing w:val="30"/>
        <w:sz w:val="15"/>
        <w:szCs w:val="15"/>
      </w:rPr>
      <w:t xml:space="preserve">PARAMOUNT RECORDING GROUP</w:t>
    </w:r>
    <w:r>
      <w:rPr>
        <w:rFonts w:ascii="Calibri" w:cs="Calibri" w:eastAsia="Calibri" w:hAnsi="Calibri"/>
        <w:color w:val="5A5F6B"/>
        <w:sz w:val="15"/>
        <w:szCs w:val="15"/>
      </w:rPr>
      <w:t xml:space="preserve">  |  PRG-P04 — Required Training Records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73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60" w:hanging="302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2026-08-06T22:17:53.330Z</dcterms:created>
  <dcterms:modified xsi:type="dcterms:W3CDTF">2026-08-06T22:17:53.331Z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