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352"/>
          <w:spacing w:val="40"/>
          <w:sz w:val="19"/>
          <w:szCs w:val="19"/>
        </w:rPr>
        <w:t xml:space="preserve">PRG-R01</w:t>
      </w:r>
      <w:r>
        <w:rPr>
          <w:rFonts w:ascii="Calibri" w:cs="Calibri" w:eastAsia="Calibri" w:hAnsi="Calibri"/>
          <w:b/>
          <w:bCs/>
          <w:color w:val="5A5F6B"/>
          <w:spacing w:val="30"/>
          <w:sz w:val="15"/>
          <w:szCs w:val="15"/>
        </w:rPr>
        <w:t xml:space="preserve">      REFERENCE — WHAT IT IS AND WHY</w:t>
      </w:r>
    </w:p>
    <w:p>
      <w:pPr>
        <w:spacing w:after="50"/>
      </w:pPr>
      <w:r>
        <w:rPr>
          <w:rFonts w:ascii="Calibri" w:cs="Calibri" w:eastAsia="Calibri" w:hAnsi="Calibri"/>
          <w:b/>
          <w:bCs/>
          <w:color w:val="1F3352"/>
          <w:sz w:val="38"/>
          <w:szCs w:val="38"/>
        </w:rPr>
        <w:t xml:space="preserve">Timecards &amp; Time Records</w:t>
      </w:r>
    </w:p>
    <w:p>
      <w:pPr>
        <w:pBdr>
          <w:bottom w:val="single" w:color="1F3352" w:sz="14" w:space="8"/>
        </w:pBdr>
        <w:spacing w:after="200"/>
      </w:pPr>
      <w:r>
        <w:rPr>
          <w:rFonts w:ascii="Calibri" w:cs="Calibri" w:eastAsia="Calibri" w:hAnsi="Calibri"/>
          <w:i/>
          <w:iCs/>
          <w:color w:val="5A5F6B"/>
          <w:sz w:val="21"/>
          <w:szCs w:val="21"/>
        </w:rPr>
        <w:t xml:space="preserve">Background, legal basis, and reasoning</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Read if</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to the role, or something unusual came up</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Daily use</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PRG-P01</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Applies to</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All non-exempt staff — PRS, ARS, ERS, TRK</w:t>
            </w:r>
          </w:p>
        </w:tc>
      </w:tr>
    </w:tbl>
    <w:p>
      <w:pPr>
        <w:spacing w:after="190"/>
      </w:pPr>
    </w:p>
    <w:p>
      <w:pPr>
        <w:pStyle w:val="Heading1"/>
        <w:pBdr>
          <w:bottom w:val="single" w:color="14685E" w:sz="8" w:space="6"/>
        </w:pBdr>
        <w:spacing w:after="150" w:before="300"/>
      </w:pPr>
      <w:r>
        <w:rPr>
          <w:rFonts w:ascii="Calibri" w:cs="Calibri" w:eastAsia="Calibri" w:hAnsi="Calibri"/>
          <w:b/>
          <w:bCs/>
          <w:color w:val="1F3352"/>
          <w:sz w:val="27"/>
          <w:szCs w:val="27"/>
        </w:rPr>
        <w:t xml:space="preserve">1. Why daily</w:t>
      </w:r>
    </w:p>
    <w:p>
      <w:pPr>
        <w:spacing w:after="120" w:line="276"/>
      </w:pPr>
      <w:r>
        <w:rPr>
          <w:rFonts w:ascii="Calibri" w:cs="Calibri" w:eastAsia="Calibri" w:hAnsi="Calibri"/>
          <w:color w:val="20242C"/>
          <w:sz w:val="21"/>
          <w:szCs w:val="21"/>
        </w:rPr>
        <w:t xml:space="preserve">Payroll used to be a scramble because two weeks of small errors all surfaced at once, 48 hours before the run. Reconstructing a punch from three days ago is guesswork. Reconstructing it from yesterday is a two-minute conversation.</w:t>
      </w:r>
    </w:p>
    <w:p>
      <w:pPr>
        <w:spacing w:after="120" w:line="276"/>
      </w:pPr>
      <w:r>
        <w:rPr>
          <w:rFonts w:ascii="Calibri" w:cs="Calibri" w:eastAsia="Calibri" w:hAnsi="Calibri"/>
          <w:color w:val="20242C"/>
          <w:sz w:val="21"/>
          <w:szCs w:val="21"/>
        </w:rPr>
        <w:t xml:space="preserve">Daily review does not add work — it moves the same work to where it is cheap. Total time is lower and the error rate is dramatically lower, because the person who worked the shift still remembers it.</w:t>
      </w:r>
    </w:p>
    <w:p>
      <w:pPr>
        <w:spacing w:after="120" w:line="276"/>
      </w:pPr>
      <w:r>
        <w:rPr>
          <w:rFonts w:ascii="Calibri" w:cs="Calibri" w:eastAsia="Calibri" w:hAnsi="Calibri"/>
          <w:color w:val="20242C"/>
          <w:sz w:val="21"/>
          <w:szCs w:val="21"/>
        </w:rPr>
        <w:t xml:space="preserve">It also removes the worst failure mode: discovering on payroll day that six people have missing punches, and having to choose between delaying payroll and guessing.</w:t>
      </w:r>
    </w:p>
    <w:p>
      <w:pPr>
        <w:pStyle w:val="Heading1"/>
        <w:pBdr>
          <w:bottom w:val="single" w:color="14685E" w:sz="8" w:space="6"/>
        </w:pBdr>
        <w:spacing w:after="150" w:before="300"/>
      </w:pPr>
      <w:r>
        <w:rPr>
          <w:rFonts w:ascii="Calibri" w:cs="Calibri" w:eastAsia="Calibri" w:hAnsi="Calibri"/>
          <w:b/>
          <w:bCs/>
          <w:color w:val="1F3352"/>
          <w:sz w:val="27"/>
          <w:szCs w:val="27"/>
        </w:rPr>
        <w:t xml:space="preserve">2. What California requires</w:t>
      </w:r>
    </w:p>
    <w:p>
      <w:pPr>
        <w:spacing w:after="120" w:line="276"/>
      </w:pPr>
      <w:r>
        <w:rPr>
          <w:rFonts w:ascii="Calibri" w:cs="Calibri" w:eastAsia="Calibri" w:hAnsi="Calibri"/>
          <w:color w:val="20242C"/>
          <w:sz w:val="21"/>
          <w:szCs w:val="21"/>
        </w:rPr>
        <w:t xml:space="preserve">Fernando does not need to cite these. He needs to know they exist and why the protocol is shaped the way it is.</w:t>
      </w:r>
    </w:p>
    <w:p>
      <w:pPr>
        <w:pStyle w:val="Heading2"/>
        <w:spacing w:after="100" w:before="240"/>
      </w:pPr>
      <w:r>
        <w:rPr>
          <w:rFonts w:ascii="Calibri" w:cs="Calibri" w:eastAsia="Calibri" w:hAnsi="Calibri"/>
          <w:b/>
          <w:bCs/>
          <w:color w:val="14685E"/>
          <w:sz w:val="22"/>
          <w:szCs w:val="22"/>
        </w:rPr>
        <w:t xml:space="preserve">2.1 The employer owns the records</w:t>
      </w:r>
    </w:p>
    <w:p>
      <w:pPr>
        <w:spacing w:after="120" w:line="276"/>
      </w:pPr>
      <w:r>
        <w:rPr>
          <w:rFonts w:ascii="Calibri" w:cs="Calibri" w:eastAsia="Calibri" w:hAnsi="Calibri"/>
          <w:color w:val="20242C"/>
          <w:sz w:val="21"/>
          <w:szCs w:val="21"/>
        </w:rPr>
        <w:t xml:space="preserve">California puts the burden of accurate timekeeping on the employer, not the employee. "He forgot to clock out" is not a defense. If our records are incomplete and an employee later claims more hours, the employee's recollection generally wins. That is why every gap gets closed the same week.</w:t>
      </w:r>
    </w:p>
    <w:p>
      <w:pPr>
        <w:pStyle w:val="Heading2"/>
        <w:spacing w:after="100" w:before="240"/>
      </w:pPr>
      <w:r>
        <w:rPr>
          <w:rFonts w:ascii="Calibri" w:cs="Calibri" w:eastAsia="Calibri" w:hAnsi="Calibri"/>
          <w:b/>
          <w:bCs/>
          <w:color w:val="14685E"/>
          <w:sz w:val="22"/>
          <w:szCs w:val="22"/>
        </w:rPr>
        <w:t xml:space="preserve">2.2 All hours worked get paid</w:t>
      </w:r>
    </w:p>
    <w:p>
      <w:pPr>
        <w:spacing w:after="120" w:line="276"/>
      </w:pPr>
      <w:r>
        <w:rPr>
          <w:rFonts w:ascii="Calibri" w:cs="Calibri" w:eastAsia="Calibri" w:hAnsi="Calibri"/>
          <w:color w:val="20242C"/>
          <w:sz w:val="21"/>
          <w:szCs w:val="21"/>
        </w:rPr>
        <w:t xml:space="preserve">Hours worked are paid regardless of whether they were approved, scheduled, or punched. Unapproved overtime is a performance conversation; it is never a reason not to pay. Withholding pay to enforce a policy turns a management issue into a wage claim.</w:t>
      </w:r>
    </w:p>
    <w:p>
      <w:pPr>
        <w:pStyle w:val="Heading2"/>
        <w:spacing w:after="100" w:before="240"/>
      </w:pPr>
      <w:r>
        <w:rPr>
          <w:rFonts w:ascii="Calibri" w:cs="Calibri" w:eastAsia="Calibri" w:hAnsi="Calibri"/>
          <w:b/>
          <w:bCs/>
          <w:color w:val="14685E"/>
          <w:sz w:val="22"/>
          <w:szCs w:val="22"/>
        </w:rPr>
        <w:t xml:space="preserve">2.3 Meal periods</w:t>
      </w:r>
    </w:p>
    <w:p>
      <w:pPr>
        <w:spacing w:after="120" w:line="276"/>
      </w:pPr>
      <w:r>
        <w:rPr>
          <w:rFonts w:ascii="Calibri" w:cs="Calibri" w:eastAsia="Calibri" w:hAnsi="Calibri"/>
          <w:color w:val="20242C"/>
          <w:sz w:val="21"/>
          <w:szCs w:val="21"/>
        </w:rPr>
        <w:t xml:space="preserve">Highest-frequency and highest-cost item in California wage-and-hour law, and invisible unless someone looks daily.</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Shift length</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Requirement</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Over 5 hours</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30-minute unpaid, uninterrupted, duty-free meal beginning </w:t>
            </w:r>
            <w:r>
              <w:rPr>
                <w:rFonts w:ascii="Calibri" w:cs="Calibri" w:eastAsia="Calibri" w:hAnsi="Calibri"/>
                <w:b/>
                <w:bCs/>
                <w:color w:val="20242C"/>
                <w:sz w:val="19"/>
                <w:szCs w:val="19"/>
              </w:rPr>
              <w:t xml:space="preserve">before the end of hour 5</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Over 10 hours</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Second 30-minute meal beginning </w:t>
            </w:r>
            <w:r>
              <w:rPr>
                <w:rFonts w:ascii="Calibri" w:cs="Calibri" w:eastAsia="Calibri" w:hAnsi="Calibri"/>
                <w:b/>
                <w:bCs/>
                <w:color w:val="20242C"/>
                <w:sz w:val="19"/>
                <w:szCs w:val="19"/>
              </w:rPr>
              <w:t xml:space="preserve">before the end of hour 10</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10–12 hours</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Second meal waivable by mutual written consent — only if the first was not waived</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Over 12 hours</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Second meal cannot be waived</w:t>
            </w:r>
          </w:p>
        </w:tc>
      </w:tr>
    </w:tbl>
    <w:p>
      <w:pPr>
        <w:spacing w:after="110"/>
      </w:pPr>
    </w:p>
    <w:p>
      <w:pPr>
        <w:spacing w:after="120" w:line="276"/>
      </w:pPr>
      <w:r>
        <w:rPr>
          <w:rFonts w:ascii="Calibri" w:cs="Calibri" w:eastAsia="Calibri" w:hAnsi="Calibri"/>
          <w:color w:val="20242C"/>
          <w:sz w:val="21"/>
          <w:szCs w:val="21"/>
        </w:rPr>
        <w:t xml:space="preserve">Missed, cut short, taken late, or interrupted → the employee is owed a </w:t>
      </w:r>
      <w:r>
        <w:rPr>
          <w:rFonts w:ascii="Calibri" w:cs="Calibri" w:eastAsia="Calibri" w:hAnsi="Calibri"/>
          <w:b/>
          <w:bCs/>
          <w:color w:val="20242C"/>
          <w:sz w:val="21"/>
          <w:szCs w:val="21"/>
        </w:rPr>
        <w:t xml:space="preserve">one-hour premium at their regular rate</w:t>
      </w:r>
      <w:r>
        <w:rPr>
          <w:rFonts w:ascii="Calibri" w:cs="Calibri" w:eastAsia="Calibri" w:hAnsi="Calibri"/>
          <w:color w:val="20242C"/>
          <w:sz w:val="21"/>
          <w:szCs w:val="21"/>
        </w:rPr>
        <w:t xml:space="preserve"> for that day (Labor Code 226.7).</w:t>
      </w:r>
    </w:p>
    <w:p>
      <w:pPr>
        <w:spacing w:after="50"/>
      </w:pP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Why we pay the premium instead of fixing the punch</w:t>
            </w:r>
          </w:p>
          <w:p>
            <w:pPr>
              <w:spacing w:after="70" w:line="264"/>
            </w:pPr>
            <w:r>
              <w:rPr>
                <w:rFonts w:ascii="Calibri" w:cs="Calibri" w:eastAsia="Calibri" w:hAnsi="Calibri"/>
                <w:color w:val="20242C"/>
                <w:sz w:val="20"/>
                <w:szCs w:val="20"/>
              </w:rPr>
              <w:t xml:space="preserve">A one-hour premium is an ordinary, budgetable cost of running studios where sessions run long. Adjusting a punch to make a non-compliant break look compliant is falsification of a time record — a different category of problem, with individual liability, and the kind of thing that turns a routine wage claim into something much worse.</w:t>
            </w:r>
          </w:p>
          <w:p>
            <w:pPr>
              <w:spacing w:after="70" w:line="264"/>
            </w:pPr>
          </w:p>
          <w:p>
            <w:pPr>
              <w:spacing w:after="0" w:line="264"/>
            </w:pPr>
            <w:r>
              <w:rPr>
                <w:rFonts w:ascii="Calibri" w:cs="Calibri" w:eastAsia="Calibri" w:hAnsi="Calibri"/>
                <w:color w:val="20242C"/>
                <w:sz w:val="20"/>
                <w:szCs w:val="20"/>
              </w:rPr>
              <w:t xml:space="preserve">The premium is cheap. The cover-up is not.</w:t>
            </w:r>
          </w:p>
        </w:tc>
      </w:tr>
    </w:tbl>
    <w:p>
      <w:pPr>
        <w:spacing w:after="110"/>
      </w:pPr>
    </w:p>
    <w:p>
      <w:pPr>
        <w:spacing w:after="120" w:line="276"/>
      </w:pPr>
      <w:r>
        <w:rPr>
          <w:rFonts w:ascii="Calibri" w:cs="Calibri" w:eastAsia="Calibri" w:hAnsi="Calibri"/>
          <w:b/>
          <w:bCs/>
          <w:color w:val="20242C"/>
          <w:sz w:val="21"/>
          <w:szCs w:val="21"/>
        </w:rPr>
        <w:t xml:space="preserve">Meal punches are never rounded.</w:t>
      </w:r>
      <w:r>
        <w:rPr>
          <w:rFonts w:ascii="Calibri" w:cs="Calibri" w:eastAsia="Calibri" w:hAnsi="Calibri"/>
          <w:color w:val="20242C"/>
          <w:sz w:val="21"/>
          <w:szCs w:val="21"/>
        </w:rPr>
        <w:t xml:space="preserve"> California permits neutral rounding of shift punches in narrow circumstances, but courts have moved sharply against rounding where a system records exact minutes — and ours does.</w:t>
      </w:r>
    </w:p>
    <w:p>
      <w:pPr>
        <w:pStyle w:val="Heading2"/>
        <w:spacing w:after="100" w:before="240"/>
      </w:pPr>
      <w:r>
        <w:rPr>
          <w:rFonts w:ascii="Calibri" w:cs="Calibri" w:eastAsia="Calibri" w:hAnsi="Calibri"/>
          <w:b/>
          <w:bCs/>
          <w:color w:val="14685E"/>
          <w:sz w:val="22"/>
          <w:szCs w:val="22"/>
        </w:rPr>
        <w:t xml:space="preserve">2.4 Rest periods</w:t>
      </w:r>
    </w:p>
    <w:p>
      <w:pPr>
        <w:spacing w:after="120" w:line="276"/>
      </w:pPr>
      <w:r>
        <w:rPr>
          <w:rFonts w:ascii="Calibri" w:cs="Calibri" w:eastAsia="Calibri" w:hAnsi="Calibri"/>
          <w:color w:val="20242C"/>
          <w:sz w:val="21"/>
          <w:szCs w:val="21"/>
        </w:rPr>
        <w:t xml:space="preserve">Ten paid minutes per four hours worked, or major fraction. Paid and not punched, so they never appear on a timecard — but the same one-hour premium applies if denied. Watch for shift patterns that make rest breaks impossible even though there is nothing on the timecard to review.</w:t>
      </w:r>
    </w:p>
    <w:p>
      <w:pPr>
        <w:pStyle w:val="Heading1"/>
        <w:pBdr>
          <w:bottom w:val="single" w:color="14685E" w:sz="8" w:space="6"/>
        </w:pBdr>
        <w:spacing w:after="150" w:before="300"/>
      </w:pPr>
      <w:r>
        <w:rPr>
          <w:rFonts w:ascii="Calibri" w:cs="Calibri" w:eastAsia="Calibri" w:hAnsi="Calibri"/>
          <w:b/>
          <w:bCs/>
          <w:color w:val="1F3352"/>
          <w:sz w:val="27"/>
          <w:szCs w:val="27"/>
        </w:rPr>
        <w:t xml:space="preserve">3. Why written confirmation is non-negotiable</w:t>
      </w:r>
    </w:p>
    <w:p>
      <w:pPr>
        <w:spacing w:after="120" w:line="276"/>
      </w:pPr>
      <w:r>
        <w:rPr>
          <w:rFonts w:ascii="Calibri" w:cs="Calibri" w:eastAsia="Calibri" w:hAnsi="Calibri"/>
          <w:b/>
          <w:bCs/>
          <w:color w:val="20242C"/>
          <w:sz w:val="21"/>
          <w:szCs w:val="21"/>
        </w:rPr>
        <w:t xml:space="preserve">Legal.</w:t>
      </w:r>
      <w:r>
        <w:rPr>
          <w:rFonts w:ascii="Calibri" w:cs="Calibri" w:eastAsia="Calibri" w:hAnsi="Calibri"/>
          <w:color w:val="20242C"/>
          <w:sz w:val="21"/>
          <w:szCs w:val="21"/>
        </w:rPr>
        <w:t xml:space="preserve"> A corrected timecard with no employee confirmation behind it is unverifiable. In a dispute, an edit made by a manager with no employee sign-off is indistinguishable — on paper — from a manager shaving hours.</w:t>
      </w:r>
    </w:p>
    <w:p>
      <w:pPr>
        <w:spacing w:after="120" w:line="276"/>
      </w:pPr>
      <w:r>
        <w:rPr>
          <w:rFonts w:ascii="Calibri" w:cs="Calibri" w:eastAsia="Calibri" w:hAnsi="Calibri"/>
          <w:b/>
          <w:bCs/>
          <w:color w:val="20242C"/>
          <w:sz w:val="21"/>
          <w:szCs w:val="21"/>
        </w:rPr>
        <w:t xml:space="preserve">Practical.</w:t>
      </w:r>
      <w:r>
        <w:rPr>
          <w:rFonts w:ascii="Calibri" w:cs="Calibri" w:eastAsia="Calibri" w:hAnsi="Calibri"/>
          <w:color w:val="20242C"/>
          <w:sz w:val="21"/>
          <w:szCs w:val="21"/>
        </w:rPr>
        <w:t xml:space="preserve"> It makes the employee a participant in their own time record. Same mechanism that drives PRG-R03: someone who has to state their hours in writing starts paying attention to their punches.</w:t>
      </w:r>
    </w:p>
    <w:p>
      <w:pPr>
        <w:spacing w:after="120" w:line="276"/>
      </w:pPr>
      <w:r>
        <w:rPr>
          <w:rFonts w:ascii="Calibri" w:cs="Calibri" w:eastAsia="Calibri" w:hAnsi="Calibri"/>
          <w:color w:val="20242C"/>
          <w:sz w:val="21"/>
          <w:szCs w:val="21"/>
        </w:rPr>
        <w:t xml:space="preserve">Email, text, or a PRSFlo punch request all work. What matters is that it is written, from the employee, and findable later. Verbal does not count — not because we distrust anyone, but because it disappears.</w:t>
      </w:r>
    </w:p>
    <w:p>
      <w:pPr>
        <w:spacing w:after="120" w:line="276"/>
      </w:pPr>
      <w:r>
        <w:rPr>
          <w:rFonts w:ascii="Calibri" w:cs="Calibri" w:eastAsia="Calibri" w:hAnsi="Calibri"/>
          <w:color w:val="20242C"/>
          <w:sz w:val="21"/>
          <w:szCs w:val="21"/>
        </w:rPr>
        <w:t xml:space="preserve">If someone is unreachable, reconstruct from the work order, comment the source, and confirm on their next shift. </w:t>
      </w:r>
      <w:r>
        <w:rPr>
          <w:rFonts w:ascii="Calibri" w:cs="Calibri" w:eastAsia="Calibri" w:hAnsi="Calibri"/>
          <w:b/>
          <w:bCs/>
          <w:color w:val="20242C"/>
          <w:sz w:val="21"/>
          <w:szCs w:val="21"/>
        </w:rPr>
        <w:t xml:space="preserve">Never delay paying hours that were clearly worked.</w:t>
      </w:r>
    </w:p>
    <w:p>
      <w:pPr>
        <w:pStyle w:val="Heading1"/>
        <w:pBdr>
          <w:bottom w:val="single" w:color="14685E" w:sz="8" w:space="6"/>
        </w:pBdr>
        <w:spacing w:after="150" w:before="300"/>
      </w:pPr>
      <w:r>
        <w:rPr>
          <w:rFonts w:ascii="Calibri" w:cs="Calibri" w:eastAsia="Calibri" w:hAnsi="Calibri"/>
          <w:b/>
          <w:bCs/>
          <w:color w:val="1F3352"/>
          <w:sz w:val="27"/>
          <w:szCs w:val="27"/>
        </w:rPr>
        <w:t xml:space="preserve">4. Employee timecard approval</w:t>
      </w:r>
    </w:p>
    <w:p>
      <w:pPr>
        <w:spacing w:after="120" w:line="276"/>
      </w:pPr>
      <w:r>
        <w:rPr>
          <w:rFonts w:ascii="Calibri" w:cs="Calibri" w:eastAsia="Calibri" w:hAnsi="Calibri"/>
          <w:color w:val="20242C"/>
          <w:sz w:val="21"/>
          <w:szCs w:val="21"/>
        </w:rPr>
        <w:t xml:space="preserve">Every employee approves their own timecard in ADP each pay period. Compliance was good when WFN was first rolled out and has slipped since; it is being reinstated as a hard requirement.</w:t>
      </w:r>
    </w:p>
    <w:p>
      <w:pPr>
        <w:spacing w:after="120" w:line="276"/>
      </w:pPr>
      <w:r>
        <w:rPr>
          <w:rFonts w:ascii="Calibri" w:cs="Calibri" w:eastAsia="Calibri" w:hAnsi="Calibri"/>
          <w:b/>
          <w:bCs/>
          <w:color w:val="20242C"/>
          <w:sz w:val="21"/>
          <w:szCs w:val="21"/>
        </w:rPr>
        <w:t xml:space="preserve">This is the strongest form of the confirmation described in §3.</w:t>
      </w:r>
      <w:r>
        <w:rPr>
          <w:rFonts w:ascii="Calibri" w:cs="Calibri" w:eastAsia="Calibri" w:hAnsi="Calibri"/>
          <w:color w:val="20242C"/>
          <w:sz w:val="21"/>
          <w:szCs w:val="21"/>
        </w:rPr>
        <w:t xml:space="preserve"> A text message confirms one punch. An approved timecard is the employee affirming every hour in the period, in the system of record, with a timestamp. If hours are ever disputed, an approved timecard is the single most useful document we can produce.</w:t>
      </w:r>
    </w:p>
    <w:p>
      <w:pPr>
        <w:spacing w:after="120" w:line="276"/>
      </w:pPr>
      <w:r>
        <w:rPr>
          <w:rFonts w:ascii="Calibri" w:cs="Calibri" w:eastAsia="Calibri" w:hAnsi="Calibri"/>
          <w:color w:val="20242C"/>
          <w:sz w:val="21"/>
          <w:szCs w:val="21"/>
        </w:rPr>
        <w:t xml:space="preserve">It also changes the dynamic in the right direction. An employee who has to review and approve their own hours notices a wrong punch themselves — which is the same behaviour PRG-R03 is trying to build, arriving from a different angle.</w:t>
      </w:r>
    </w:p>
    <w:p>
      <w:pPr>
        <w:spacing w:after="50"/>
      </w:pPr>
    </w:p>
    <w:p>
      <w:pPr>
        <w:pStyle w:val="ListParagraph"/>
        <w:numPr>
          <w:ilvl w:val="0"/>
          <w:numId w:val="2"/>
        </w:numPr>
        <w:spacing w:after="60" w:line="264"/>
      </w:pPr>
      <w:r>
        <w:rPr>
          <w:rFonts w:ascii="Calibri" w:cs="Calibri" w:eastAsia="Calibri" w:hAnsi="Calibri"/>
          <w:color w:val="20242C"/>
          <w:sz w:val="21"/>
          <w:szCs w:val="21"/>
        </w:rPr>
        <w:t xml:space="preserve">Outstanding approvals are chased during the daily review, not at period end. Same-day is a reminder; two weeks later is a chore.</w:t>
      </w:r>
    </w:p>
    <w:p>
      <w:pPr>
        <w:pStyle w:val="ListParagraph"/>
        <w:numPr>
          <w:ilvl w:val="0"/>
          <w:numId w:val="2"/>
        </w:numPr>
        <w:spacing w:after="60" w:line="264"/>
      </w:pPr>
      <w:r>
        <w:rPr>
          <w:rFonts w:ascii="Calibri" w:cs="Calibri" w:eastAsia="Calibri" w:hAnsi="Calibri"/>
          <w:b/>
          <w:bCs/>
          <w:color w:val="20242C"/>
          <w:sz w:val="21"/>
          <w:szCs w:val="21"/>
        </w:rPr>
        <w:t xml:space="preserve">No pay period closes with approvals missing.</w:t>
      </w:r>
      <w:r>
        <w:rPr>
          <w:rFonts w:ascii="Calibri" w:cs="Calibri" w:eastAsia="Calibri" w:hAnsi="Calibri"/>
          <w:color w:val="20242C"/>
          <w:sz w:val="21"/>
          <w:szCs w:val="21"/>
        </w:rPr>
        <w:t xml:space="preserve"> It is one of the seven clean-close conditions.</w:t>
      </w:r>
    </w:p>
    <w:p>
      <w:pPr>
        <w:pStyle w:val="ListParagraph"/>
        <w:numPr>
          <w:ilvl w:val="0"/>
          <w:numId w:val="2"/>
        </w:numPr>
        <w:spacing w:after="60" w:line="264"/>
      </w:pPr>
      <w:r>
        <w:rPr>
          <w:rFonts w:ascii="Calibri" w:cs="Calibri" w:eastAsia="Calibri" w:hAnsi="Calibri"/>
          <w:b/>
          <w:bCs/>
          <w:color w:val="20242C"/>
          <w:sz w:val="21"/>
          <w:szCs w:val="21"/>
        </w:rPr>
        <w:t xml:space="preserve">A manager never approves on an employee's behalf.</w:t>
      </w:r>
      <w:r>
        <w:rPr>
          <w:rFonts w:ascii="Calibri" w:cs="Calibri" w:eastAsia="Calibri" w:hAnsi="Calibri"/>
          <w:color w:val="20242C"/>
          <w:sz w:val="21"/>
          <w:szCs w:val="21"/>
        </w:rPr>
        <w:t xml:space="preserve"> That produces a record that looks like employee confirmation and is not one, which is worse than having no approval at all.</w:t>
      </w:r>
    </w:p>
    <w:p>
      <w:pPr>
        <w:pStyle w:val="ListParagraph"/>
        <w:numPr>
          <w:ilvl w:val="0"/>
          <w:numId w:val="2"/>
        </w:numPr>
        <w:spacing w:after="60" w:line="264"/>
      </w:pPr>
      <w:r>
        <w:rPr>
          <w:rFonts w:ascii="Calibri" w:cs="Calibri" w:eastAsia="Calibri" w:hAnsi="Calibri"/>
          <w:color w:val="20242C"/>
          <w:sz w:val="21"/>
          <w:szCs w:val="21"/>
        </w:rPr>
        <w:t xml:space="preserve">A refusal to approve is information. It usually means the employee disputes the hours — better surfaced before payroll runs than after.</w:t>
      </w:r>
    </w:p>
    <w:p>
      <w:pPr>
        <w:pStyle w:val="Heading1"/>
        <w:pBdr>
          <w:bottom w:val="single" w:color="14685E" w:sz="8" w:space="6"/>
        </w:pBdr>
        <w:spacing w:after="150" w:before="300"/>
      </w:pPr>
      <w:r>
        <w:rPr>
          <w:rFonts w:ascii="Calibri" w:cs="Calibri" w:eastAsia="Calibri" w:hAnsi="Calibri"/>
          <w:b/>
          <w:bCs/>
          <w:color w:val="1F3352"/>
          <w:sz w:val="27"/>
          <w:szCs w:val="27"/>
        </w:rPr>
        <w:t xml:space="preserve">5. Why every edit gets a comment</w:t>
      </w:r>
    </w:p>
    <w:p>
      <w:pPr>
        <w:spacing w:after="120" w:line="276"/>
      </w:pPr>
      <w:r>
        <w:rPr>
          <w:rFonts w:ascii="Calibri" w:cs="Calibri" w:eastAsia="Calibri" w:hAnsi="Calibri"/>
          <w:color w:val="20242C"/>
          <w:sz w:val="21"/>
          <w:szCs w:val="21"/>
        </w:rPr>
        <w:t xml:space="preserve">Thirty seconds converts an unexplained number into a documented decision. A year from now — audit, dispute, or handover to a new manager — the comment is the only thing that explains why that punch says what it says.</w:t>
      </w:r>
    </w:p>
    <w:p>
      <w:pPr>
        <w:pStyle w:val="Heading1"/>
        <w:pBdr>
          <w:bottom w:val="single" w:color="14685E" w:sz="8" w:space="6"/>
        </w:pBdr>
        <w:spacing w:after="150" w:before="300"/>
      </w:pPr>
      <w:r>
        <w:rPr>
          <w:rFonts w:ascii="Calibri" w:cs="Calibri" w:eastAsia="Calibri" w:hAnsi="Calibri"/>
          <w:b/>
          <w:bCs/>
          <w:color w:val="1F3352"/>
          <w:sz w:val="27"/>
          <w:szCs w:val="27"/>
        </w:rPr>
        <w:t xml:space="preserve">6. The clean close</w:t>
      </w:r>
    </w:p>
    <w:p>
      <w:pPr>
        <w:spacing w:after="120" w:line="276"/>
      </w:pPr>
      <w:r>
        <w:rPr>
          <w:rFonts w:ascii="Calibri" w:cs="Calibri" w:eastAsia="Calibri" w:hAnsi="Calibri"/>
          <w:color w:val="20242C"/>
          <w:sz w:val="21"/>
          <w:szCs w:val="21"/>
        </w:rPr>
        <w:t xml:space="preserve">The Fernando-to-Lynair handoff used to be implicit: Fernando did what he could, Lynair found what was left, and neither knew where the boundary was. That ambiguity is where things fell through.</w:t>
      </w:r>
    </w:p>
    <w:p>
      <w:pPr>
        <w:spacing w:after="120" w:line="276"/>
      </w:pPr>
      <w:r>
        <w:rPr>
          <w:rFonts w:ascii="Calibri" w:cs="Calibri" w:eastAsia="Calibri" w:hAnsi="Calibri"/>
          <w:color w:val="20242C"/>
          <w:sz w:val="21"/>
          <w:szCs w:val="21"/>
        </w:rPr>
        <w:t xml:space="preserve">A clean close makes it explicit and binary. Fernando does not hand over a period until it meets a defined standard, and says so in writing. Lynair reconciles a known-good period instead of auditing an unknown one.</w:t>
      </w:r>
    </w:p>
    <w:p>
      <w:pPr>
        <w:pStyle w:val="Heading1"/>
        <w:pBdr>
          <w:bottom w:val="single" w:color="14685E" w:sz="8" w:space="6"/>
        </w:pBdr>
        <w:spacing w:after="150" w:before="300"/>
      </w:pPr>
      <w:r>
        <w:rPr>
          <w:rFonts w:ascii="Calibri" w:cs="Calibri" w:eastAsia="Calibri" w:hAnsi="Calibri"/>
          <w:b/>
          <w:bCs/>
          <w:color w:val="1F3352"/>
          <w:sz w:val="27"/>
          <w:szCs w:val="27"/>
        </w:rPr>
        <w:t xml:space="preserve">7. The metrics, and why</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500"/>
        <w:gridCol w:w="5400"/>
        <w:gridCol w:w="1460"/>
      </w:tblGrid>
      <w:tr>
        <w:trPr>
          <w:tblHeader/>
        </w:trPr>
        <w:tc>
          <w:tcPr>
            <w:tcW w:type="dxa" w:w="25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Metric</w:t>
            </w:r>
          </w:p>
        </w:tc>
        <w:tc>
          <w:tcPr>
            <w:tcW w:type="dxa" w:w="5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What it measures</w:t>
            </w:r>
          </w:p>
        </w:tc>
        <w:tc>
          <w:tcPr>
            <w:tcW w:type="dxa" w:w="14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Target</w:t>
            </w:r>
          </w:p>
        </w:tc>
      </w:tr>
      <w:tr>
        <w:tc>
          <w:tcPr>
            <w:tcW w:type="dxa" w:w="2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Days reviewed on time</w:t>
            </w:r>
          </w:p>
        </w:tc>
        <w:tc>
          <w:tcPr>
            <w:tcW w:type="dxa" w:w="5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the daily habit exists. Everything depends on it.</w:t>
            </w:r>
          </w:p>
        </w:tc>
        <w:tc>
          <w:tcPr>
            <w:tcW w:type="dxa" w:w="1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95%+</w:t>
            </w:r>
          </w:p>
        </w:tc>
      </w:tr>
      <w:tr>
        <w:tc>
          <w:tcPr>
            <w:tcW w:type="dxa" w:w="2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Open exceptions at close</w:t>
            </w:r>
          </w:p>
        </w:tc>
        <w:tc>
          <w:tcPr>
            <w:tcW w:type="dxa" w:w="5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the clean close is real or a rubber stamp.</w:t>
            </w:r>
          </w:p>
        </w:tc>
        <w:tc>
          <w:tcPr>
            <w:tcW w:type="dxa" w:w="1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0</w:t>
            </w:r>
          </w:p>
        </w:tc>
      </w:tr>
      <w:tr>
        <w:tc>
          <w:tcPr>
            <w:tcW w:type="dxa" w:w="2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Edits with no written confirmation</w:t>
            </w:r>
          </w:p>
        </w:tc>
        <w:tc>
          <w:tcPr>
            <w:tcW w:type="dxa" w:w="5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Legal exposure. The number that would matter in a dispute.</w:t>
            </w:r>
          </w:p>
        </w:tc>
        <w:tc>
          <w:tcPr>
            <w:tcW w:type="dxa" w:w="1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0</w:t>
            </w:r>
          </w:p>
        </w:tc>
      </w:tr>
      <w:tr>
        <w:tc>
          <w:tcPr>
            <w:tcW w:type="dxa" w:w="2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Employee timecard approval rate</w:t>
            </w:r>
          </w:p>
        </w:tc>
        <w:tc>
          <w:tcPr>
            <w:tcW w:type="dxa" w:w="5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§4 is actually holding. Reinstated after slipping post-rollout.</w:t>
            </w:r>
          </w:p>
        </w:tc>
        <w:tc>
          <w:tcPr>
            <w:tcW w:type="dxa" w:w="1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100%</w:t>
            </w:r>
          </w:p>
        </w:tc>
      </w:tr>
    </w:tbl>
    <w:p>
      <w:pPr>
        <w:spacing w:after="110"/>
      </w:pPr>
    </w:p>
    <w:p>
      <w:pPr>
        <w:spacing w:after="120" w:line="276"/>
      </w:pPr>
      <w:r>
        <w:rPr>
          <w:rFonts w:ascii="Calibri" w:cs="Calibri" w:eastAsia="Calibri" w:hAnsi="Calibri"/>
          <w:color w:val="20242C"/>
          <w:sz w:val="21"/>
          <w:szCs w:val="21"/>
        </w:rPr>
        <w:t xml:space="preserve">Deliberately boring. A month where all three are green is a month where nobody spent an evening on payroll.</w:t>
      </w:r>
    </w:p>
    <w:p>
      <w:pPr>
        <w:pStyle w:val="Heading1"/>
        <w:pBdr>
          <w:bottom w:val="single" w:color="14685E" w:sz="8" w:space="6"/>
        </w:pBdr>
        <w:spacing w:after="150" w:before="300"/>
      </w:pPr>
      <w:r>
        <w:rPr>
          <w:rFonts w:ascii="Calibri" w:cs="Calibri" w:eastAsia="Calibri" w:hAnsi="Calibri"/>
          <w:b/>
          <w:bCs/>
          <w:color w:val="1F3352"/>
          <w:sz w:val="27"/>
          <w:szCs w:val="27"/>
        </w:rPr>
        <w:t xml:space="preserve">8. Systems — and the division of labor between them</w:t>
      </w:r>
    </w:p>
    <w:p>
      <w:pPr>
        <w:spacing w:after="120" w:line="276"/>
      </w:pPr>
      <w:r>
        <w:rPr>
          <w:rFonts w:ascii="Calibri" w:cs="Calibri" w:eastAsia="Calibri" w:hAnsi="Calibri"/>
          <w:b/>
          <w:bCs/>
          <w:color w:val="20242C"/>
          <w:sz w:val="21"/>
          <w:szCs w:val="21"/>
        </w:rPr>
        <w:t xml:space="preserve">ADP Workforce Now remains the system of record for pay.</w:t>
      </w:r>
      <w:r>
        <w:rPr>
          <w:rFonts w:ascii="Calibri" w:cs="Calibri" w:eastAsia="Calibri" w:hAnsi="Calibri"/>
          <w:color w:val="20242C"/>
          <w:sz w:val="21"/>
          <w:szCs w:val="21"/>
        </w:rPr>
        <w:t xml:space="preserve"> Company code 4DA, Region 70. Client Services 1-844-203-1359 / southwestservice@adp.com. Every punch correction is entered in ADP by hand. There is no integration, and that is deliberate — a sync that silently drifts from ADP would be worse than no sync at all.</w:t>
      </w:r>
    </w:p>
    <w:p>
      <w:pPr>
        <w:spacing w:after="120" w:line="276"/>
      </w:pPr>
      <w:r>
        <w:rPr>
          <w:rFonts w:ascii="Calibri" w:cs="Calibri" w:eastAsia="Calibri" w:hAnsi="Calibri"/>
          <w:b/>
          <w:bCs/>
          <w:color w:val="20242C"/>
          <w:sz w:val="21"/>
          <w:szCs w:val="21"/>
        </w:rPr>
        <w:t xml:space="preserve">PRSFlo is the collection and audit layer.</w:t>
      </w:r>
      <w:r>
        <w:rPr>
          <w:rFonts w:ascii="Calibri" w:cs="Calibri" w:eastAsia="Calibri" w:hAnsi="Calibri"/>
          <w:color w:val="20242C"/>
          <w:sz w:val="21"/>
          <w:szCs w:val="21"/>
        </w:rPr>
        <w:t xml:space="preserve"> It captures what staff report, timestamps it, and stores it permanently. It does not touch ADP. If the two ever disagree, ADP is right about pay and PRSFlo is right about what was requested and confirmed.</w:t>
      </w:r>
    </w:p>
    <w:p>
      <w:pPr>
        <w:spacing w:after="60"/>
      </w:pPr>
    </w:p>
    <w:p>
      <w:pPr>
        <w:spacing w:after="120" w:line="276"/>
      </w:pPr>
      <w:r>
        <w:rPr>
          <w:rFonts w:ascii="Calibri" w:cs="Calibri" w:eastAsia="Calibri" w:hAnsi="Calibri"/>
          <w:color w:val="20242C"/>
          <w:sz w:val="21"/>
          <w:szCs w:val="21"/>
        </w:rPr>
        <w:t xml:space="preserve">What that buys us, concretely:</w:t>
      </w:r>
    </w:p>
    <w:p>
      <w:pPr>
        <w:pStyle w:val="ListParagraph"/>
        <w:numPr>
          <w:ilvl w:val="0"/>
          <w:numId w:val="2"/>
        </w:numPr>
        <w:spacing w:after="60" w:line="264"/>
      </w:pPr>
      <w:r>
        <w:rPr>
          <w:rFonts w:ascii="Calibri" w:cs="Calibri" w:eastAsia="Calibri" w:hAnsi="Calibri"/>
          <w:color w:val="20242C"/>
          <w:sz w:val="21"/>
          <w:szCs w:val="21"/>
        </w:rPr>
        <w:t xml:space="preserve">The written employee confirmation required by §3 becomes a database record instead of a text message someone has to find a year later.</w:t>
      </w:r>
    </w:p>
    <w:p>
      <w:pPr>
        <w:pStyle w:val="ListParagraph"/>
        <w:numPr>
          <w:ilvl w:val="0"/>
          <w:numId w:val="2"/>
        </w:numPr>
        <w:spacing w:after="60" w:line="264"/>
      </w:pPr>
      <w:r>
        <w:rPr>
          <w:rFonts w:ascii="Calibri" w:cs="Calibri" w:eastAsia="Calibri" w:hAnsi="Calibri"/>
          <w:color w:val="20242C"/>
          <w:sz w:val="21"/>
          <w:szCs w:val="21"/>
        </w:rPr>
        <w:t xml:space="preserve">The self-report classification in PRG-R03 computes itself from the submission timestamp — no manual tallying, and no argument about who reported what when.</w:t>
      </w:r>
    </w:p>
    <w:p>
      <w:pPr>
        <w:pStyle w:val="ListParagraph"/>
        <w:numPr>
          <w:ilvl w:val="0"/>
          <w:numId w:val="2"/>
        </w:numPr>
        <w:spacing w:after="60" w:line="264"/>
      </w:pPr>
      <w:r>
        <w:rPr>
          <w:rFonts w:ascii="Calibri" w:cs="Calibri" w:eastAsia="Calibri" w:hAnsi="Calibri"/>
          <w:color w:val="20242C"/>
          <w:sz w:val="21"/>
          <w:szCs w:val="21"/>
        </w:rPr>
        <w:t xml:space="preserve">The ADP comment in §5 is auto-composed and copied rather than retyped.</w:t>
      </w:r>
    </w:p>
    <w:p>
      <w:pPr>
        <w:spacing w:after="60"/>
      </w:pPr>
    </w:p>
    <w:p>
      <w:pPr>
        <w:pStyle w:val="ListParagraph"/>
        <w:numPr>
          <w:ilvl w:val="0"/>
          <w:numId w:val="2"/>
        </w:numPr>
        <w:spacing w:after="60" w:line="264"/>
      </w:pPr>
      <w:r>
        <w:rPr>
          <w:rFonts w:ascii="Calibri" w:cs="Calibri" w:eastAsia="Calibri" w:hAnsi="Calibri"/>
          <w:color w:val="20242C"/>
          <w:sz w:val="21"/>
          <w:szCs w:val="21"/>
        </w:rPr>
        <w:t xml:space="preserve">The </w:t>
      </w:r>
      <w:r>
        <w:rPr>
          <w:rFonts w:ascii="Calibri" w:cs="Calibri" w:eastAsia="Calibri" w:hAnsi="Calibri"/>
          <w:b/>
          <w:bCs/>
          <w:color w:val="20242C"/>
          <w:sz w:val="21"/>
          <w:szCs w:val="21"/>
        </w:rPr>
        <w:t xml:space="preserve">Exceptions / Attendance dashboard</w:t>
      </w:r>
      <w:r>
        <w:rPr>
          <w:rFonts w:ascii="Calibri" w:cs="Calibri" w:eastAsia="Calibri" w:hAnsi="Calibri"/>
          <w:color w:val="20242C"/>
          <w:sz w:val="21"/>
          <w:szCs w:val="21"/>
        </w:rPr>
        <w:t xml:space="preserve"> in ADP is what makes the daily review five minutes instead of forty. If it is not enabled in our instance, ask ADP to turn it on.</w:t>
      </w:r>
    </w:p>
    <w:p>
      <w:pPr>
        <w:pStyle w:val="ListParagraph"/>
        <w:numPr>
          <w:ilvl w:val="0"/>
          <w:numId w:val="2"/>
        </w:numPr>
        <w:spacing w:after="60" w:line="264"/>
      </w:pPr>
      <w:r>
        <w:rPr>
          <w:rFonts w:ascii="Calibri" w:cs="Calibri" w:eastAsia="Calibri" w:hAnsi="Calibri"/>
          <w:b/>
          <w:bCs/>
          <w:color w:val="20242C"/>
          <w:sz w:val="21"/>
          <w:szCs w:val="21"/>
        </w:rPr>
        <w:t xml:space="preserve">Menu paths vary by WFN instance.</w:t>
      </w:r>
      <w:r>
        <w:rPr>
          <w:rFonts w:ascii="Calibri" w:cs="Calibri" w:eastAsia="Calibri" w:hAnsi="Calibri"/>
          <w:color w:val="20242C"/>
          <w:sz w:val="21"/>
          <w:szCs w:val="21"/>
        </w:rPr>
        <w:t xml:space="preserve"> Confirm ours once against the live system and write them into PRG-P01.</w:t>
      </w:r>
    </w:p>
    <w:p>
      <w:pPr>
        <w:spacing w:after="6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Until PRSFlo ships</w:t>
            </w:r>
          </w:p>
          <w:p>
            <w:pPr>
              <w:spacing w:after="70" w:line="264"/>
            </w:pPr>
            <w:r>
              <w:rPr>
                <w:rFonts w:ascii="Calibri" w:cs="Calibri" w:eastAsia="Calibri" w:hAnsi="Calibri"/>
                <w:color w:val="20242C"/>
                <w:sz w:val="20"/>
                <w:szCs w:val="20"/>
              </w:rPr>
              <w:t xml:space="preserve">Staff report missed punches by text or email, and </w:t>
            </w:r>
            <w:r>
              <w:rPr>
                <w:rFonts w:ascii="Calibri" w:cs="Calibri" w:eastAsia="Calibri" w:hAnsi="Calibri"/>
                <w:b/>
                <w:bCs/>
                <w:color w:val="20242C"/>
                <w:sz w:val="20"/>
                <w:szCs w:val="20"/>
              </w:rPr>
              <w:t xml:space="preserve">those messages must be saved</w:t>
            </w:r>
            <w:r>
              <w:rPr>
                <w:rFonts w:ascii="Calibri" w:cs="Calibri" w:eastAsia="Calibri" w:hAnsi="Calibri"/>
                <w:color w:val="20242C"/>
                <w:sz w:val="20"/>
                <w:szCs w:val="20"/>
              </w:rPr>
              <w:t xml:space="preserve"> — they are the written confirmation and there is no substitute.</w:t>
            </w:r>
          </w:p>
          <w:p>
            <w:pPr>
              <w:spacing w:after="70" w:line="264"/>
            </w:pPr>
            <w:r>
              <w:rPr>
                <w:rFonts w:ascii="Calibri" w:cs="Calibri" w:eastAsia="Calibri" w:hAnsi="Calibri"/>
                <w:color w:val="20242C"/>
                <w:sz w:val="20"/>
                <w:szCs w:val="20"/>
              </w:rPr>
              <w:t xml:space="preserve">Misses are logged by hand in a shared Missed Punch Log, and ADP comments are typed manually.</w:t>
            </w:r>
          </w:p>
          <w:p>
            <w:pPr>
              <w:spacing w:after="0" w:line="264"/>
            </w:pPr>
            <w:r>
              <w:rPr>
                <w:rFonts w:ascii="Calibri" w:cs="Calibri" w:eastAsia="Calibri" w:hAnsi="Calibri"/>
                <w:color w:val="20242C"/>
                <w:sz w:val="20"/>
                <w:szCs w:val="20"/>
              </w:rPr>
              <w:t xml:space="preserve">Everything in the protocol still applies. Only the storage changes.</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9. Scope</w:t>
      </w:r>
    </w:p>
    <w:p>
      <w:pPr>
        <w:spacing w:after="120" w:line="276"/>
      </w:pPr>
      <w:r>
        <w:rPr>
          <w:rFonts w:ascii="Calibri" w:cs="Calibri" w:eastAsia="Calibri" w:hAnsi="Calibri"/>
          <w:color w:val="20242C"/>
          <w:sz w:val="21"/>
          <w:szCs w:val="21"/>
        </w:rPr>
        <w:t xml:space="preserve">Background and reasoning, not legal advice. Requirements are accurate as of August 2026, but wage-and-hour law is fact-specific.</w:t>
      </w:r>
    </w:p>
    <w:p>
      <w:pPr>
        <w:spacing w:after="120" w:line="276"/>
      </w:pPr>
      <w:r>
        <w:rPr>
          <w:rFonts w:ascii="Calibri" w:cs="Calibri" w:eastAsia="Calibri" w:hAnsi="Calibri"/>
          <w:color w:val="20242C"/>
          <w:sz w:val="21"/>
          <w:szCs w:val="21"/>
        </w:rPr>
        <w:t xml:space="preserve">Have an employment attorney or CalChamber HR advisor review Section 2 against our actual scheduling — particularly meal periods on long overnight sessions, where studio work differs most from a standard shift environment.</w:t>
      </w:r>
    </w:p>
    <w:p>
      <w:pPr>
        <w:pStyle w:val="Heading1"/>
        <w:pBdr>
          <w:bottom w:val="single" w:color="14685E" w:sz="8" w:space="6"/>
        </w:pBdr>
        <w:spacing w:after="150" w:before="300"/>
      </w:pPr>
      <w:r>
        <w:rPr>
          <w:rFonts w:ascii="Calibri" w:cs="Calibri" w:eastAsia="Calibri" w:hAnsi="Calibri"/>
          <w:b/>
          <w:bCs/>
          <w:color w:val="1F3352"/>
          <w:sz w:val="27"/>
          <w:szCs w:val="27"/>
        </w:rPr>
        <w:t xml:space="preserve">10. Related</w:t>
      </w:r>
    </w:p>
    <w:p>
      <w:pPr>
        <w:pStyle w:val="ListParagraph"/>
        <w:numPr>
          <w:ilvl w:val="0"/>
          <w:numId w:val="2"/>
        </w:numPr>
        <w:spacing w:after="60" w:line="264"/>
      </w:pPr>
      <w:r>
        <w:rPr>
          <w:rFonts w:ascii="Calibri" w:cs="Calibri" w:eastAsia="Calibri" w:hAnsi="Calibri"/>
          <w:b/>
          <w:bCs/>
          <w:color w:val="20242C"/>
          <w:sz w:val="21"/>
          <w:szCs w:val="21"/>
        </w:rPr>
        <w:t xml:space="preserve">PRG-P01</w:t>
      </w:r>
      <w:r>
        <w:rPr>
          <w:rFonts w:ascii="Calibri" w:cs="Calibri" w:eastAsia="Calibri" w:hAnsi="Calibri"/>
          <w:color w:val="20242C"/>
          <w:sz w:val="21"/>
          <w:szCs w:val="21"/>
        </w:rPr>
        <w:t xml:space="preserve"> — Daily Timecards (the protocol)</w:t>
      </w:r>
    </w:p>
    <w:p>
      <w:pPr>
        <w:pStyle w:val="ListParagraph"/>
        <w:numPr>
          <w:ilvl w:val="0"/>
          <w:numId w:val="2"/>
        </w:numPr>
        <w:spacing w:after="60" w:line="264"/>
      </w:pPr>
      <w:r>
        <w:rPr>
          <w:rFonts w:ascii="Calibri" w:cs="Calibri" w:eastAsia="Calibri" w:hAnsi="Calibri"/>
          <w:color w:val="20242C"/>
          <w:sz w:val="21"/>
          <w:szCs w:val="21"/>
        </w:rPr>
        <w:t xml:space="preserve">PRG-R03 / P03 — Missed Punches</w:t>
      </w:r>
    </w:p>
    <w:p>
      <w:pPr>
        <w:pStyle w:val="ListParagraph"/>
        <w:numPr>
          <w:ilvl w:val="0"/>
          <w:numId w:val="2"/>
        </w:numPr>
        <w:spacing w:after="60" w:line="264"/>
      </w:pPr>
      <w:r>
        <w:rPr>
          <w:rFonts w:ascii="Calibri" w:cs="Calibri" w:eastAsia="Calibri" w:hAnsi="Calibri"/>
          <w:color w:val="20242C"/>
          <w:sz w:val="21"/>
          <w:szCs w:val="21"/>
        </w:rPr>
        <w:t xml:space="preserve">PRG-R02 / P02 — Hiring &amp; Separation</w:t>
      </w:r>
    </w:p>
    <w:p>
      <w:pPr>
        <w:pStyle w:val="ListParagraph"/>
        <w:numPr>
          <w:ilvl w:val="0"/>
          <w:numId w:val="2"/>
        </w:numPr>
        <w:spacing w:after="60" w:line="264"/>
      </w:pPr>
      <w:r>
        <w:rPr>
          <w:rFonts w:ascii="Calibri" w:cs="Calibri" w:eastAsia="Calibri" w:hAnsi="Calibri"/>
          <w:color w:val="20242C"/>
          <w:sz w:val="21"/>
          <w:szCs w:val="21"/>
        </w:rPr>
        <w:t xml:space="preserve">PRSFlo Build Spec</w:t>
      </w:r>
    </w:p>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PRG-R01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PRG-R01 — Timecards &amp; Time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2026-08-06T22:17:53.488Z</dcterms:created>
  <dcterms:modified xsi:type="dcterms:W3CDTF">2026-08-06T22:17:53.488Z</dcterms:modified>
</cp:coreProperties>
</file>

<file path=docProps/custom.xml><?xml version="1.0" encoding="utf-8"?>
<Properties xmlns="http://schemas.openxmlformats.org/officeDocument/2006/custom-properties" xmlns:vt="http://schemas.openxmlformats.org/officeDocument/2006/docPropsVTypes"/>
</file>