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352"/>
          <w:spacing w:val="40"/>
          <w:sz w:val="19"/>
          <w:szCs w:val="19"/>
        </w:rPr>
        <w:t xml:space="preserve">PRG-R02</w:t>
      </w:r>
      <w:r>
        <w:rPr>
          <w:rFonts w:ascii="Calibri" w:cs="Calibri" w:eastAsia="Calibri" w:hAnsi="Calibri"/>
          <w:b/>
          <w:bCs/>
          <w:color w:val="5A5F6B"/>
          <w:spacing w:val="30"/>
          <w:sz w:val="15"/>
          <w:szCs w:val="15"/>
        </w:rPr>
        <w:t xml:space="preserve">      REFERENCE — WHAT IT IS AND WHY</w:t>
      </w:r>
    </w:p>
    <w:p>
      <w:pPr>
        <w:spacing w:after="50"/>
      </w:pPr>
      <w:r>
        <w:rPr>
          <w:rFonts w:ascii="Calibri" w:cs="Calibri" w:eastAsia="Calibri" w:hAnsi="Calibri"/>
          <w:b/>
          <w:bCs/>
          <w:color w:val="1F3352"/>
          <w:sz w:val="38"/>
          <w:szCs w:val="38"/>
        </w:rPr>
        <w:t xml:space="preserve">Hiring &amp; Separation</w:t>
      </w:r>
    </w:p>
    <w:p>
      <w:pPr>
        <w:pBdr>
          <w:bottom w:val="single" w:color="1F3352" w:sz="14" w:space="8"/>
        </w:pBdr>
        <w:spacing w:after="200"/>
      </w:pPr>
      <w:r>
        <w:rPr>
          <w:rFonts w:ascii="Calibri" w:cs="Calibri" w:eastAsia="Calibri" w:hAnsi="Calibri"/>
          <w:i/>
          <w:iCs/>
          <w:color w:val="5A5F6B"/>
          <w:sz w:val="21"/>
          <w:szCs w:val="21"/>
        </w:rPr>
        <w:t xml:space="preserve">Background, California requirements, and reasoning</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72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7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Read if</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to the role, or a separation is unusual</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Daily use</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PRG-P02</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Supersedes</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LYNAIR onboard/terminate instructions</w:t>
            </w:r>
          </w:p>
        </w:tc>
      </w:tr>
    </w:tbl>
    <w:p>
      <w:pPr>
        <w:spacing w:after="190"/>
      </w:pPr>
    </w:p>
    <w:p>
      <w:pPr>
        <w:pStyle w:val="Heading1"/>
        <w:pBdr>
          <w:bottom w:val="single" w:color="14685E" w:sz="8" w:space="6"/>
        </w:pBdr>
        <w:spacing w:after="150" w:before="300"/>
      </w:pPr>
      <w:r>
        <w:rPr>
          <w:rFonts w:ascii="Calibri" w:cs="Calibri" w:eastAsia="Calibri" w:hAnsi="Calibri"/>
          <w:b/>
          <w:bCs/>
          <w:color w:val="1F3352"/>
          <w:sz w:val="27"/>
          <w:szCs w:val="27"/>
        </w:rPr>
        <w:t xml:space="preserve">1. Who does what, and why</w:t>
      </w:r>
    </w:p>
    <w:p>
      <w:pPr>
        <w:spacing w:after="120" w:line="276"/>
      </w:pPr>
      <w:r>
        <w:rPr>
          <w:rFonts w:ascii="Calibri" w:cs="Calibri" w:eastAsia="Calibri" w:hAnsi="Calibri"/>
          <w:color w:val="20242C"/>
          <w:sz w:val="21"/>
          <w:szCs w:val="21"/>
        </w:rPr>
        <w:t xml:space="preserve">Hiring and separation used to sit entirely with Lynair. Most of the execution now moves to Fernando — he is in the studios, knows who is starting and leaving, and is already the person new hires ask about punches and schedules. Splitting execution from that knowledge is what created the gaps.</w:t>
      </w:r>
    </w:p>
    <w:p>
      <w:pPr>
        <w:spacing w:after="120" w:line="276"/>
      </w:pPr>
      <w:r>
        <w:rPr>
          <w:rFonts w:ascii="Calibri" w:cs="Calibri" w:eastAsia="Calibri" w:hAnsi="Calibri"/>
          <w:b/>
          <w:bCs/>
          <w:color w:val="20242C"/>
          <w:sz w:val="21"/>
          <w:szCs w:val="21"/>
        </w:rPr>
        <w:t xml:space="preserve">The ADP hire and terminate actions themselves stay with Eli.</w:t>
      </w:r>
      <w:r>
        <w:rPr>
          <w:rFonts w:ascii="Calibri" w:cs="Calibri" w:eastAsia="Calibri" w:hAnsi="Calibri"/>
          <w:color w:val="20242C"/>
          <w:sz w:val="21"/>
          <w:szCs w:val="21"/>
        </w:rPr>
        <w:t xml:space="preserve"> Fernando does not hold those permissions, and on review we decided not to grant them. Two reasons. The action is genuinely quick — a name, a mobile number, an email, a start date, and the position and rate. And because Eli enters the rate and position himself, nobody has to review those figures afterwards; the person with the authority to set compensation is the person who typed it.</w:t>
      </w:r>
    </w:p>
    <w:p>
      <w:pPr>
        <w:spacing w:after="50"/>
      </w:pP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1400"/>
        <w:gridCol w:w="7960"/>
      </w:tblGrid>
      <w:tr>
        <w:trPr>
          <w:tblHeader/>
        </w:trPr>
        <w:tc>
          <w:tcPr>
            <w:tcW w:type="dxa" w:w="1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Who</w:t>
            </w:r>
          </w:p>
        </w:tc>
        <w:tc>
          <w:tcPr>
            <w:tcW w:type="dxa" w:w="79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Owns</w:t>
            </w:r>
          </w:p>
        </w:tc>
      </w:tr>
      <w:tr>
        <w:tc>
          <w:tcPr>
            <w:tcW w:type="dxa" w:w="1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Eli</w:t>
            </w:r>
          </w:p>
        </w:tc>
        <w:tc>
          <w:tcPr>
            <w:tcW w:type="dxa" w:w="79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Creates the hire in ADP. Starts the termination in ADP.</w:t>
            </w:r>
            <w:r>
              <w:rPr>
                <w:rFonts w:ascii="Calibri" w:cs="Calibri" w:eastAsia="Calibri" w:hAnsi="Calibri"/>
                <w:color w:val="20242C"/>
                <w:sz w:val="19"/>
                <w:szCs w:val="19"/>
              </w:rPr>
              <w:t xml:space="preserve"> Sets position and rate. Final review and approve. Approves every involuntary termination.</w:t>
            </w:r>
          </w:p>
        </w:tc>
      </w:tr>
      <w:tr>
        <w:tc>
          <w:tcPr>
            <w:tcW w:type="dxa" w:w="1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Fernando</w:t>
            </w:r>
          </w:p>
        </w:tc>
        <w:tc>
          <w:tcPr>
            <w:tcW w:type="dxa" w:w="7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Everything around it — pre-hire prep, welcome email, notices and acknowledgments, monitoring onboarding progress, </w:t>
            </w:r>
            <w:r>
              <w:rPr>
                <w:rFonts w:ascii="Calibri" w:cs="Calibri" w:eastAsia="Calibri" w:hAnsi="Calibri"/>
                <w:b/>
                <w:bCs/>
                <w:color w:val="20242C"/>
                <w:sz w:val="19"/>
                <w:szCs w:val="19"/>
              </w:rPr>
              <w:t xml:space="preserve">reviewing and approving uploaded documents including the I-9</w:t>
            </w:r>
            <w:r>
              <w:rPr>
                <w:rFonts w:ascii="Calibri" w:cs="Calibri" w:eastAsia="Calibri" w:hAnsi="Calibri"/>
                <w:color w:val="20242C"/>
                <w:sz w:val="19"/>
                <w:szCs w:val="19"/>
              </w:rPr>
              <w:t xml:space="preserve">, day-one setup, the separation packet, and offboarding.</w:t>
            </w:r>
          </w:p>
        </w:tc>
      </w:tr>
      <w:tr>
        <w:tc>
          <w:tcPr>
            <w:tcW w:type="dxa" w:w="1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Lynair</w:t>
            </w:r>
          </w:p>
        </w:tc>
        <w:tc>
          <w:tcPr>
            <w:tcW w:type="dxa" w:w="7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CalSavers enrolment and removal. Payroll processing.</w:t>
            </w:r>
          </w:p>
        </w:tc>
      </w:tr>
    </w:tbl>
    <w:p>
      <w:pPr>
        <w:spacing w:after="110"/>
      </w:pPr>
    </w:p>
    <w:p>
      <w:pPr>
        <w:spacing w:after="120" w:line="276"/>
      </w:pPr>
      <w:r>
        <w:rPr>
          <w:rFonts w:ascii="Calibri" w:cs="Calibri" w:eastAsia="Calibri" w:hAnsi="Calibri"/>
          <w:color w:val="20242C"/>
          <w:sz w:val="21"/>
          <w:szCs w:val="21"/>
        </w:rPr>
        <w:t xml:space="preserve">One setup item: Fernando needs confirmed access to review new hire progress and approve uploaded documents. He should call ADP during a live onboarding to verify it and learn the navigation — once, with a real record on screen, rather than hunting for it under time pressure.</w:t>
      </w:r>
    </w:p>
    <w:p>
      <w:pPr>
        <w:pStyle w:val="Heading1"/>
        <w:pBdr>
          <w:bottom w:val="single" w:color="14685E" w:sz="8" w:space="6"/>
        </w:pBdr>
        <w:spacing w:after="150" w:before="300"/>
      </w:pPr>
      <w:r>
        <w:rPr>
          <w:rFonts w:ascii="Calibri" w:cs="Calibri" w:eastAsia="Calibri" w:hAnsi="Calibri"/>
          <w:b/>
          <w:bCs/>
          <w:color w:val="1F3352"/>
          <w:sz w:val="27"/>
          <w:szCs w:val="27"/>
        </w:rPr>
        <w:t xml:space="preserve">2. Three corrections to the old instructions</w:t>
      </w:r>
    </w:p>
    <w:p>
      <w:pPr>
        <w:pStyle w:val="Heading2"/>
        <w:spacing w:after="100" w:before="240"/>
      </w:pPr>
      <w:r>
        <w:rPr>
          <w:rFonts w:ascii="Calibri" w:cs="Calibri" w:eastAsia="Calibri" w:hAnsi="Calibri"/>
          <w:b/>
          <w:bCs/>
          <w:color w:val="14685E"/>
          <w:sz w:val="22"/>
          <w:szCs w:val="22"/>
        </w:rPr>
        <w:t xml:space="preserve">2.1 Final pay is not always 72 hours</w:t>
      </w:r>
    </w:p>
    <w:p>
      <w:pPr>
        <w:spacing w:after="120" w:line="276"/>
      </w:pPr>
      <w:r>
        <w:rPr>
          <w:rFonts w:ascii="Calibri" w:cs="Calibri" w:eastAsia="Calibri" w:hAnsi="Calibri"/>
          <w:color w:val="20242C"/>
          <w:sz w:val="21"/>
          <w:szCs w:val="21"/>
        </w:rPr>
        <w:t xml:space="preserve">The old document said "final check must be issued within 72 hours of termination." That is true for exactly one scenario out of three, and it is the least common one.</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3000"/>
        <w:gridCol w:w="3900"/>
        <w:gridCol w:w="2460"/>
      </w:tblGrid>
      <w:tr>
        <w:trPr>
          <w:tblHeader/>
        </w:trPr>
        <w:tc>
          <w:tcPr>
            <w:tcW w:type="dxa" w:w="30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How employment ends</w:t>
            </w:r>
          </w:p>
        </w:tc>
        <w:tc>
          <w:tcPr>
            <w:tcW w:type="dxa" w:w="39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Final wages due</w:t>
            </w:r>
          </w:p>
        </w:tc>
        <w:tc>
          <w:tcPr>
            <w:tcW w:type="dxa" w:w="24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Authority</w:t>
            </w:r>
          </w:p>
        </w:tc>
      </w:tr>
      <w:tr>
        <w:tc>
          <w:tcPr>
            <w:tcW w:type="dxa" w:w="30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We terminate</w:t>
            </w:r>
            <w:r>
              <w:rPr>
                <w:rFonts w:ascii="Calibri" w:cs="Calibri" w:eastAsia="Calibri" w:hAnsi="Calibri"/>
                <w:color w:val="20242C"/>
                <w:sz w:val="19"/>
                <w:szCs w:val="19"/>
              </w:rPr>
              <w:t xml:space="preserve"> (fired or laid off)</w:t>
            </w:r>
          </w:p>
        </w:tc>
        <w:tc>
          <w:tcPr>
            <w:tcW w:type="dxa" w:w="39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Immediately, at the time of termination</w:t>
            </w:r>
          </w:p>
        </w:tc>
        <w:tc>
          <w:tcPr>
            <w:tcW w:type="dxa" w:w="2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Labor Code 201</w:t>
            </w:r>
          </w:p>
        </w:tc>
      </w:tr>
      <w:tr>
        <w:tc>
          <w:tcPr>
            <w:tcW w:type="dxa" w:w="30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They quit, </w:t>
            </w:r>
            <w:r>
              <w:rPr>
                <w:rFonts w:ascii="Calibri" w:cs="Calibri" w:eastAsia="Calibri" w:hAnsi="Calibri"/>
                <w:b/>
                <w:bCs/>
                <w:color w:val="20242C"/>
                <w:sz w:val="19"/>
                <w:szCs w:val="19"/>
              </w:rPr>
              <w:t xml:space="preserve">72+ hours notice</w:t>
            </w:r>
          </w:p>
        </w:tc>
        <w:tc>
          <w:tcPr>
            <w:tcW w:type="dxa" w:w="3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On their last day worked</w:t>
            </w:r>
          </w:p>
        </w:tc>
        <w:tc>
          <w:tcPr>
            <w:tcW w:type="dxa" w:w="2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Labor Code 202</w:t>
            </w:r>
          </w:p>
        </w:tc>
      </w:tr>
      <w:tr>
        <w:tc>
          <w:tcPr>
            <w:tcW w:type="dxa" w:w="30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They quit, </w:t>
            </w:r>
            <w:r>
              <w:rPr>
                <w:rFonts w:ascii="Calibri" w:cs="Calibri" w:eastAsia="Calibri" w:hAnsi="Calibri"/>
                <w:b/>
                <w:bCs/>
                <w:color w:val="20242C"/>
                <w:sz w:val="19"/>
                <w:szCs w:val="19"/>
              </w:rPr>
              <w:t xml:space="preserve">under 72 hours notice</w:t>
            </w:r>
          </w:p>
        </w:tc>
        <w:tc>
          <w:tcPr>
            <w:tcW w:type="dxa" w:w="3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Within 72 hours of the quit</w:t>
            </w:r>
          </w:p>
        </w:tc>
        <w:tc>
          <w:tcPr>
            <w:tcW w:type="dxa" w:w="2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Labor Code 202</w:t>
            </w:r>
          </w:p>
        </w:tc>
      </w:tr>
    </w:tbl>
    <w:p>
      <w:pPr>
        <w:spacing w:after="110"/>
      </w:pPr>
    </w:p>
    <w:p>
      <w:pPr>
        <w:spacing w:after="120" w:line="276"/>
      </w:pPr>
      <w:r>
        <w:rPr>
          <w:rFonts w:ascii="Calibri" w:cs="Calibri" w:eastAsia="Calibri" w:hAnsi="Calibri"/>
          <w:color w:val="20242C"/>
          <w:sz w:val="21"/>
          <w:szCs w:val="21"/>
        </w:rPr>
        <w:t xml:space="preserve">Final pay must include all wages earned </w:t>
      </w:r>
      <w:r>
        <w:rPr>
          <w:rFonts w:ascii="Calibri" w:cs="Calibri" w:eastAsia="Calibri" w:hAnsi="Calibri"/>
          <w:b/>
          <w:bCs/>
          <w:color w:val="20242C"/>
          <w:sz w:val="21"/>
          <w:szCs w:val="21"/>
        </w:rPr>
        <w:t xml:space="preserve">plus all accrued unused vacation or PTO</w:t>
      </w:r>
      <w:r>
        <w:rPr>
          <w:rFonts w:ascii="Calibri" w:cs="Calibri" w:eastAsia="Calibri" w:hAnsi="Calibri"/>
          <w:color w:val="20242C"/>
          <w:sz w:val="21"/>
          <w:szCs w:val="21"/>
        </w:rPr>
        <w:t xml:space="preserve">. California treats accrued vacation as earned wages that cannot be forfeited.</w:t>
      </w:r>
    </w:p>
    <w:p>
      <w:pPr>
        <w:spacing w:after="120" w:line="276"/>
      </w:pPr>
      <w:r>
        <w:rPr>
          <w:rFonts w:ascii="Calibri" w:cs="Calibri" w:eastAsia="Calibri" w:hAnsi="Calibri"/>
          <w:color w:val="20242C"/>
          <w:sz w:val="21"/>
          <w:szCs w:val="21"/>
        </w:rPr>
        <w:t xml:space="preserve">Getting this wrong triggers waiting time penalties under Labor Code 203 — up to </w:t>
      </w:r>
      <w:r>
        <w:rPr>
          <w:rFonts w:ascii="Calibri" w:cs="Calibri" w:eastAsia="Calibri" w:hAnsi="Calibri"/>
          <w:b/>
          <w:bCs/>
          <w:color w:val="20242C"/>
          <w:sz w:val="21"/>
          <w:szCs w:val="21"/>
        </w:rPr>
        <w:t xml:space="preserve">30 days of the employee's wages</w:t>
      </w:r>
      <w:r>
        <w:rPr>
          <w:rFonts w:ascii="Calibri" w:cs="Calibri" w:eastAsia="Calibri" w:hAnsi="Calibri"/>
          <w:color w:val="20242C"/>
          <w:sz w:val="21"/>
          <w:szCs w:val="21"/>
        </w:rPr>
        <w:t xml:space="preserve">, on top of what was owed. For one employee that can exceed a month of payroll, and it applies even when the delay was an honest administrative miss.</w:t>
      </w:r>
    </w:p>
    <w:p>
      <w:pPr>
        <w:spacing w:after="50"/>
      </w:pPr>
    </w:p>
    <w:tbl>
      <w:tblPr>
        <w:tblW w:type="dxa" w:w="9360"/>
        <w:tblBorders>
          <w:top w:val="single" w:color="14685E" w:sz="4"/>
          <w:left w:val="single" w:color="14685E" w:sz="22"/>
          <w:bottom w:val="single" w:color="14685E" w:sz="4"/>
          <w:right w:val="single" w:color="14685E" w:sz="4"/>
          <w:insideH w:val="none"/>
          <w:insideV w:val="none"/>
        </w:tblBorders>
      </w:tblPr>
      <w:tblGrid>
        <w:gridCol w:w="9360"/>
      </w:tblGrid>
      <w:tr>
        <w:tc>
          <w:tcPr>
            <w:tcW w:type="dxa" w:w="9360"/>
            <w:shd w:fill="E8F3F0"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The operational consequence</w:t>
            </w:r>
          </w:p>
          <w:p>
            <w:pPr>
              <w:spacing w:after="70" w:line="264"/>
            </w:pPr>
            <w:r>
              <w:rPr>
                <w:rFonts w:ascii="Calibri" w:cs="Calibri" w:eastAsia="Calibri" w:hAnsi="Calibri"/>
                <w:color w:val="20242C"/>
                <w:sz w:val="20"/>
                <w:szCs w:val="20"/>
              </w:rPr>
              <w:t xml:space="preserve">An involuntary termination requires the final check to exist </w:t>
            </w:r>
            <w:r>
              <w:rPr>
                <w:rFonts w:ascii="Calibri" w:cs="Calibri" w:eastAsia="Calibri" w:hAnsi="Calibri"/>
                <w:b/>
                <w:bCs/>
                <w:color w:val="20242C"/>
                <w:sz w:val="20"/>
                <w:szCs w:val="20"/>
              </w:rPr>
              <w:t xml:space="preserve">before the conversation happens.</w:t>
            </w:r>
            <w:r>
              <w:rPr>
                <w:rFonts w:ascii="Calibri" w:cs="Calibri" w:eastAsia="Calibri" w:hAnsi="Calibri"/>
                <w:color w:val="20242C"/>
                <w:sz w:val="20"/>
                <w:szCs w:val="20"/>
              </w:rPr>
              <w:t xml:space="preserve"> You cannot terminate someone Tuesday and cut the check Thursday.</w:t>
            </w:r>
          </w:p>
          <w:p>
            <w:pPr>
              <w:spacing w:after="70" w:line="264"/>
            </w:pPr>
          </w:p>
          <w:p>
            <w:pPr>
              <w:spacing w:after="0" w:line="264"/>
            </w:pPr>
            <w:r>
              <w:rPr>
                <w:rFonts w:ascii="Calibri" w:cs="Calibri" w:eastAsia="Calibri" w:hAnsi="Calibri"/>
                <w:color w:val="20242C"/>
                <w:sz w:val="20"/>
                <w:szCs w:val="20"/>
              </w:rPr>
              <w:t xml:space="preserve">That is why PRG-P02 requires 48 hours' notice to Eli and Lynair before any planned involuntary termination. It is not bureaucracy — it is the only way to hit a same-moment deadline.</w:t>
            </w:r>
          </w:p>
        </w:tc>
      </w:tr>
    </w:tbl>
    <w:p>
      <w:pPr>
        <w:pStyle w:val="Heading2"/>
        <w:spacing w:after="100" w:before="240"/>
      </w:pPr>
      <w:r>
        <w:rPr>
          <w:rFonts w:ascii="Calibri" w:cs="Calibri" w:eastAsia="Calibri" w:hAnsi="Calibri"/>
          <w:b/>
          <w:bCs/>
          <w:color w:val="14685E"/>
          <w:sz w:val="22"/>
          <w:szCs w:val="22"/>
        </w:rPr>
        <w:t xml:space="preserve">2.2 CalSavers is an add at hire, not a remove — but it cannot happen at hire</w:t>
      </w:r>
    </w:p>
    <w:p>
      <w:pPr>
        <w:spacing w:after="120" w:line="276"/>
      </w:pPr>
      <w:r>
        <w:rPr>
          <w:rFonts w:ascii="Calibri" w:cs="Calibri" w:eastAsia="Calibri" w:hAnsi="Calibri"/>
          <w:color w:val="20242C"/>
          <w:sz w:val="21"/>
          <w:szCs w:val="21"/>
        </w:rPr>
        <w:t xml:space="preserve">The old onboarding steps said to email Lynair "so she can remove employee from CalSavers." That is the termination action, pasted into the wrong section. At hire, Lynair </w:t>
      </w:r>
      <w:r>
        <w:rPr>
          <w:rFonts w:ascii="Calibri" w:cs="Calibri" w:eastAsia="Calibri" w:hAnsi="Calibri"/>
          <w:b/>
          <w:bCs/>
          <w:color w:val="20242C"/>
          <w:sz w:val="21"/>
          <w:szCs w:val="21"/>
        </w:rPr>
        <w:t xml:space="preserve">adds</w:t>
      </w:r>
      <w:r>
        <w:rPr>
          <w:rFonts w:ascii="Calibri" w:cs="Calibri" w:eastAsia="Calibri" w:hAnsi="Calibri"/>
          <w:color w:val="20242C"/>
          <w:sz w:val="21"/>
          <w:szCs w:val="21"/>
        </w:rPr>
        <w:t xml:space="preserve"> the employee.</w:t>
      </w:r>
    </w:p>
    <w:p>
      <w:pPr>
        <w:spacing w:after="120" w:line="276"/>
      </w:pPr>
      <w:r>
        <w:rPr>
          <w:rFonts w:ascii="Calibri" w:cs="Calibri" w:eastAsia="Calibri" w:hAnsi="Calibri"/>
          <w:b/>
          <w:bCs/>
          <w:color w:val="20242C"/>
          <w:sz w:val="21"/>
          <w:szCs w:val="21"/>
        </w:rPr>
        <w:t xml:space="preserve">The timing is the part that needs care.</w:t>
      </w:r>
      <w:r>
        <w:rPr>
          <w:rFonts w:ascii="Calibri" w:cs="Calibri" w:eastAsia="Calibri" w:hAnsi="Calibri"/>
          <w:color w:val="20242C"/>
          <w:sz w:val="21"/>
          <w:szCs w:val="21"/>
        </w:rPr>
        <w:t xml:space="preserve"> Lynair cannot enrol anyone until she has their address and social security number, and those only exist once the employee has completed onboarding. So the trigger is </w:t>
      </w:r>
      <w:r>
        <w:rPr>
          <w:rFonts w:ascii="Calibri" w:cs="Calibri" w:eastAsia="Calibri" w:hAnsi="Calibri"/>
          <w:b/>
          <w:bCs/>
          <w:color w:val="20242C"/>
          <w:sz w:val="21"/>
          <w:szCs w:val="21"/>
        </w:rPr>
        <w:t xml:space="preserve">onboarding completion</w:t>
      </w:r>
      <w:r>
        <w:rPr>
          <w:rFonts w:ascii="Calibri" w:cs="Calibri" w:eastAsia="Calibri" w:hAnsi="Calibri"/>
          <w:color w:val="20242C"/>
          <w:sz w:val="21"/>
          <w:szCs w:val="21"/>
        </w:rPr>
        <w:t xml:space="preserve">, not the hire date.</w:t>
      </w:r>
    </w:p>
    <w:p>
      <w:pPr>
        <w:spacing w:after="120" w:line="276"/>
      </w:pPr>
      <w:r>
        <w:rPr>
          <w:rFonts w:ascii="Calibri" w:cs="Calibri" w:eastAsia="Calibri" w:hAnsi="Calibri"/>
          <w:color w:val="20242C"/>
          <w:sz w:val="21"/>
          <w:szCs w:val="21"/>
        </w:rPr>
        <w:t xml:space="preserve">The legal deadline does not move to accommodate that. California requires enrolment within </w:t>
      </w:r>
      <w:r>
        <w:rPr>
          <w:rFonts w:ascii="Calibri" w:cs="Calibri" w:eastAsia="Calibri" w:hAnsi="Calibri"/>
          <w:b/>
          <w:bCs/>
          <w:color w:val="20242C"/>
          <w:sz w:val="21"/>
          <w:szCs w:val="21"/>
        </w:rPr>
        <w:t xml:space="preserve">30 days of hire</w:t>
      </w:r>
      <w:r>
        <w:rPr>
          <w:rFonts w:ascii="Calibri" w:cs="Calibri" w:eastAsia="Calibri" w:hAnsi="Calibri"/>
          <w:color w:val="20242C"/>
          <w:sz w:val="21"/>
          <w:szCs w:val="21"/>
        </w:rPr>
        <w:t xml:space="preserve">, so a slow onboarding compresses the window. Fernando emails Lynair the moment onboarding completes rather than waiting to be asked — she has offered to watch for it herself, and both happening is fine, but the email is the step in the protocol because a deadline with a penalty attached should not depend on someone noticing.</w:t>
      </w:r>
    </w:p>
    <w:p>
      <w:pPr>
        <w:pStyle w:val="Heading2"/>
        <w:spacing w:after="100" w:before="240"/>
      </w:pPr>
      <w:r>
        <w:rPr>
          <w:rFonts w:ascii="Calibri" w:cs="Calibri" w:eastAsia="Calibri" w:hAnsi="Calibri"/>
          <w:b/>
          <w:bCs/>
          <w:color w:val="14685E"/>
          <w:sz w:val="22"/>
          <w:szCs w:val="22"/>
        </w:rPr>
        <w:t xml:space="preserve">2.3 Hire date set seven days early — confirmed</w:t>
      </w:r>
    </w:p>
    <w:p>
      <w:pPr>
        <w:spacing w:after="120" w:line="276"/>
      </w:pPr>
      <w:r>
        <w:rPr>
          <w:rFonts w:ascii="Calibri" w:cs="Calibri" w:eastAsia="Calibri" w:hAnsi="Calibri"/>
          <w:color w:val="20242C"/>
          <w:sz w:val="21"/>
          <w:szCs w:val="21"/>
        </w:rPr>
        <w:t xml:space="preserve">Setting the ADP hire date about a week before the actual start date gets the onboarding invite out in time for paperwork to be finished before day one. Reviewed and agreed as the standing convention.</w:t>
      </w:r>
    </w:p>
    <w:p>
      <w:pPr>
        <w:spacing w:after="120" w:line="276"/>
      </w:pPr>
      <w:r>
        <w:rPr>
          <w:rFonts w:ascii="Calibri" w:cs="Calibri" w:eastAsia="Calibri" w:hAnsi="Calibri"/>
          <w:color w:val="20242C"/>
          <w:sz w:val="21"/>
          <w:szCs w:val="21"/>
        </w:rPr>
        <w:t xml:space="preserve">Worth knowing why consistency matters: the hire date also drives payroll eligibility, benefits eligibility, and several compliance clocks including the CalSavers window above. Applied uniformly it is fine. Applied case by case it quietly shifts deadlines.</w:t>
      </w:r>
    </w:p>
    <w:p>
      <w:pPr>
        <w:pStyle w:val="Heading1"/>
        <w:pBdr>
          <w:bottom w:val="single" w:color="14685E" w:sz="8" w:space="6"/>
        </w:pBdr>
        <w:spacing w:after="150" w:before="300"/>
      </w:pPr>
      <w:r>
        <w:rPr>
          <w:rFonts w:ascii="Calibri" w:cs="Calibri" w:eastAsia="Calibri" w:hAnsi="Calibri"/>
          <w:b/>
          <w:bCs/>
          <w:color w:val="1F3352"/>
          <w:sz w:val="27"/>
          <w:szCs w:val="27"/>
        </w:rPr>
        <w:t xml:space="preserve">3. California notices at hire — what each is for</w:t>
      </w:r>
    </w:p>
    <w:p>
      <w:pPr>
        <w:spacing w:after="120" w:line="276"/>
      </w:pPr>
      <w:r>
        <w:rPr>
          <w:rFonts w:ascii="Calibri" w:cs="Calibri" w:eastAsia="Calibri" w:hAnsi="Calibri"/>
          <w:color w:val="20242C"/>
          <w:sz w:val="21"/>
          <w:szCs w:val="21"/>
        </w:rPr>
        <w:t xml:space="preserve">Some of these are already delivered inside the ADP STANDARD onboarding experience. </w:t>
      </w:r>
      <w:r>
        <w:rPr>
          <w:rFonts w:ascii="Calibri" w:cs="Calibri" w:eastAsia="Calibri" w:hAnsi="Calibri"/>
          <w:b/>
          <w:bCs/>
          <w:color w:val="20242C"/>
          <w:sz w:val="21"/>
          <w:szCs w:val="21"/>
        </w:rPr>
        <w:t xml:space="preserve">To see exactly which: Setup › Manage Onboarding › Standard, then review the documents under "Tasks."</w:t>
      </w:r>
      <w:r>
        <w:rPr>
          <w:rFonts w:ascii="Calibri" w:cs="Calibri" w:eastAsia="Calibri" w:hAnsi="Calibri"/>
          <w:color w:val="20242C"/>
          <w:sz w:val="21"/>
          <w:szCs w:val="21"/>
        </w:rPr>
        <w:t xml:space="preserve"> Do that once and delete from the list below rather than double-sending — a new hire receiving the same notice twice from two different people reads as disorganised, and it makes it harder to prove what was actually delivered.</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3100"/>
        <w:gridCol w:w="6260"/>
      </w:tblGrid>
      <w:tr>
        <w:trPr>
          <w:tblHeader/>
        </w:trPr>
        <w:tc>
          <w:tcPr>
            <w:tcW w:type="dxa" w:w="3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Notice</w:t>
            </w:r>
          </w:p>
        </w:tc>
        <w:tc>
          <w:tcPr>
            <w:tcW w:type="dxa" w:w="6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Why it exists</w:t>
            </w:r>
          </w:p>
        </w:tc>
      </w:tr>
      <w:tr>
        <w:tc>
          <w:tcPr>
            <w:tcW w:type="dxa" w:w="3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Wage Theft Prevention Act notice (Labor Code 2810.5)</w:t>
            </w:r>
          </w:p>
        </w:tc>
        <w:tc>
          <w:tcPr>
            <w:tcW w:type="dxa" w:w="6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Written statement of pay rate, pay day, employer identity, and workers' comp carrier, so pay terms cannot later be disputed.</w:t>
            </w:r>
          </w:p>
        </w:tc>
      </w:tr>
      <w:tr>
        <w:tc>
          <w:tcPr>
            <w:tcW w:type="dxa" w:w="3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Harassment / discrimination / retaliation policy</w:t>
            </w:r>
          </w:p>
        </w:tc>
        <w:tc>
          <w:tcPr>
            <w:tcW w:type="dxa" w:w="6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Required written policy with acknowledgment (2 CCR 11023(b)). Distinct from the training in PRG-R04.</w:t>
            </w:r>
          </w:p>
        </w:tc>
      </w:tr>
      <w:tr>
        <w:tc>
          <w:tcPr>
            <w:tcW w:type="dxa" w:w="3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CRD harassment fact sheet or poster</w:t>
            </w:r>
          </w:p>
        </w:tc>
        <w:tc>
          <w:tcPr>
            <w:tcW w:type="dxa" w:w="6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Required under Gov. Code 12950.1 alongside the training obligation.</w:t>
            </w:r>
          </w:p>
        </w:tc>
      </w:tr>
      <w:tr>
        <w:tc>
          <w:tcPr>
            <w:tcW w:type="dxa" w:w="3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Paid sick leave notice</w:t>
            </w:r>
          </w:p>
        </w:tc>
        <w:tc>
          <w:tcPr>
            <w:tcW w:type="dxa" w:w="6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California minimum is 40 hours / 5 days. Employees must be told their accrual terms at hire.</w:t>
            </w:r>
          </w:p>
        </w:tc>
      </w:tr>
      <w:tr>
        <w:tc>
          <w:tcPr>
            <w:tcW w:type="dxa" w:w="3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Workers' comp Time of Hire pamphlet + DWC-1</w:t>
            </w:r>
          </w:p>
        </w:tc>
        <w:tc>
          <w:tcPr>
            <w:tcW w:type="dxa" w:w="6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Tells the employee how to report an injury and claim benefits.</w:t>
            </w:r>
          </w:p>
        </w:tc>
      </w:tr>
      <w:tr>
        <w:tc>
          <w:tcPr>
            <w:tcW w:type="dxa" w:w="3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EDD DE 2515 and DE 2511</w:t>
            </w:r>
          </w:p>
        </w:tc>
        <w:tc>
          <w:tcPr>
            <w:tcW w:type="dxa" w:w="6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State Disability Insurance and Paid Family Leave — employees fund these through payroll deduction and must be told they exist.</w:t>
            </w:r>
          </w:p>
        </w:tc>
      </w:tr>
      <w:tr>
        <w:tc>
          <w:tcPr>
            <w:tcW w:type="dxa" w:w="3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Workplace Violence Prevention Plan (Labor Code 6401.9)</w:t>
            </w:r>
          </w:p>
        </w:tc>
        <w:tc>
          <w:tcPr>
            <w:tcW w:type="dxa" w:w="6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Written plan plus training </w:t>
            </w:r>
            <w:r>
              <w:rPr>
                <w:rFonts w:ascii="Calibri" w:cs="Calibri" w:eastAsia="Calibri" w:hAnsi="Calibri"/>
                <w:b/>
                <w:bCs/>
                <w:color w:val="20242C"/>
                <w:sz w:val="19"/>
                <w:szCs w:val="19"/>
              </w:rPr>
              <w:t xml:space="preserve">at hire and annually.</w:t>
            </w:r>
            <w:r>
              <w:rPr>
                <w:rFonts w:ascii="Calibri" w:cs="Calibri" w:eastAsia="Calibri" w:hAnsi="Calibri"/>
                <w:color w:val="20242C"/>
                <w:sz w:val="19"/>
                <w:szCs w:val="19"/>
              </w:rPr>
              <w:t xml:space="preserve"> Separate mandate from harassment training, different regulator, different cycle. Full detail in PRG-R04 §3.</w:t>
            </w:r>
          </w:p>
        </w:tc>
      </w:tr>
      <w:tr>
        <w:tc>
          <w:tcPr>
            <w:tcW w:type="dxa" w:w="3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IIPP</w:t>
            </w:r>
          </w:p>
        </w:tc>
        <w:tc>
          <w:tcPr>
            <w:tcW w:type="dxa" w:w="6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Cal/OSHA requirement for every California employer. The WPV plan can live inside it.</w:t>
            </w:r>
          </w:p>
        </w:tc>
      </w:tr>
      <w:tr>
        <w:tc>
          <w:tcPr>
            <w:tcW w:type="dxa" w:w="3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Employee handbook</w:t>
            </w:r>
          </w:p>
        </w:tc>
        <w:tc>
          <w:tcPr>
            <w:tcW w:type="dxa" w:w="6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Not mandated, but it is where progressive discipline, PTO, and conduct expectations live — and PRG-P03 references it.</w:t>
            </w:r>
          </w:p>
        </w:tc>
      </w:tr>
    </w:tbl>
    <w:p>
      <w:pPr>
        <w:pStyle w:val="Heading2"/>
        <w:spacing w:after="100" w:before="240"/>
      </w:pPr>
      <w:r>
        <w:rPr>
          <w:rFonts w:ascii="Calibri" w:cs="Calibri" w:eastAsia="Calibri" w:hAnsi="Calibri"/>
          <w:b/>
          <w:bCs/>
          <w:color w:val="14685E"/>
          <w:sz w:val="22"/>
          <w:szCs w:val="22"/>
        </w:rPr>
        <w:t xml:space="preserve">3.1 The I-9 deadline people miss</w:t>
      </w:r>
    </w:p>
    <w:p>
      <w:pPr>
        <w:spacing w:after="120" w:line="276"/>
      </w:pPr>
      <w:r>
        <w:rPr>
          <w:rFonts w:ascii="Calibri" w:cs="Calibri" w:eastAsia="Calibri" w:hAnsi="Calibri"/>
          <w:color w:val="20242C"/>
          <w:sz w:val="21"/>
          <w:szCs w:val="21"/>
        </w:rPr>
        <w:t xml:space="preserve">Section 1 by the employee </w:t>
      </w:r>
      <w:r>
        <w:rPr>
          <w:rFonts w:ascii="Calibri" w:cs="Calibri" w:eastAsia="Calibri" w:hAnsi="Calibri"/>
          <w:b/>
          <w:bCs/>
          <w:color w:val="20242C"/>
          <w:sz w:val="21"/>
          <w:szCs w:val="21"/>
        </w:rPr>
        <w:t xml:space="preserve">on or before their first day.</w:t>
      </w:r>
      <w:r>
        <w:rPr>
          <w:rFonts w:ascii="Calibri" w:cs="Calibri" w:eastAsia="Calibri" w:hAnsi="Calibri"/>
          <w:color w:val="20242C"/>
          <w:sz w:val="21"/>
          <w:szCs w:val="21"/>
        </w:rPr>
        <w:t xml:space="preserve"> Section 2 — where we review their identity and work authorization documents — </w:t>
      </w:r>
      <w:r>
        <w:rPr>
          <w:rFonts w:ascii="Calibri" w:cs="Calibri" w:eastAsia="Calibri" w:hAnsi="Calibri"/>
          <w:b/>
          <w:bCs/>
          <w:color w:val="20242C"/>
          <w:sz w:val="21"/>
          <w:szCs w:val="21"/>
        </w:rPr>
        <w:t xml:space="preserve">within 3 business days of the first day.</w:t>
      </w:r>
      <w:r>
        <w:rPr>
          <w:rFonts w:ascii="Calibri" w:cs="Calibri" w:eastAsia="Calibri" w:hAnsi="Calibri"/>
          <w:color w:val="20242C"/>
          <w:sz w:val="21"/>
          <w:szCs w:val="21"/>
        </w:rPr>
        <w:t xml:space="preserve"> Federal, non-negotiable, fined per violation.</w:t>
      </w:r>
    </w:p>
    <w:p>
      <w:pPr>
        <w:spacing w:after="120" w:line="276"/>
      </w:pPr>
      <w:r>
        <w:rPr>
          <w:rFonts w:ascii="Calibri" w:cs="Calibri" w:eastAsia="Calibri" w:hAnsi="Calibri"/>
          <w:color w:val="20242C"/>
          <w:sz w:val="21"/>
          <w:szCs w:val="21"/>
        </w:rPr>
        <w:t xml:space="preserve">ADP handles the mechanics electronically. The deadline is still ours.</w:t>
      </w:r>
    </w:p>
    <w:p>
      <w:pPr>
        <w:pStyle w:val="Heading1"/>
        <w:pBdr>
          <w:bottom w:val="single" w:color="14685E" w:sz="8" w:space="6"/>
        </w:pBdr>
        <w:spacing w:after="150" w:before="300"/>
      </w:pPr>
      <w:r>
        <w:rPr>
          <w:rFonts w:ascii="Calibri" w:cs="Calibri" w:eastAsia="Calibri" w:hAnsi="Calibri"/>
          <w:b/>
          <w:bCs/>
          <w:color w:val="1F3352"/>
          <w:sz w:val="27"/>
          <w:szCs w:val="27"/>
        </w:rPr>
        <w:t xml:space="preserve">4. Why written resignation is required</w:t>
      </w:r>
    </w:p>
    <w:p>
      <w:pPr>
        <w:spacing w:after="120" w:line="276"/>
      </w:pPr>
      <w:r>
        <w:rPr>
          <w:rFonts w:ascii="Calibri" w:cs="Calibri" w:eastAsia="Calibri" w:hAnsi="Calibri"/>
          <w:color w:val="20242C"/>
          <w:sz w:val="21"/>
          <w:szCs w:val="21"/>
        </w:rPr>
        <w:t xml:space="preserve">A verbal resignation is ambiguous — a real notice, a bad day, or a negotiating position. If we process a termination on it and the employee says they never resigned, we have converted a voluntary quit into an involuntary termination with all the exposure that carries.</w:t>
      </w:r>
    </w:p>
    <w:p>
      <w:pPr>
        <w:spacing w:after="120" w:line="276"/>
      </w:pPr>
      <w:r>
        <w:rPr>
          <w:rFonts w:ascii="Calibri" w:cs="Calibri" w:eastAsia="Calibri" w:hAnsi="Calibri"/>
          <w:color w:val="20242C"/>
          <w:sz w:val="21"/>
          <w:szCs w:val="21"/>
        </w:rPr>
        <w:t xml:space="preserve">It also fixes the date and time notice was given, which is what determines the final pay deadline in §2.1.</w:t>
      </w:r>
    </w:p>
    <w:p>
      <w:pPr>
        <w:pStyle w:val="Heading1"/>
        <w:pBdr>
          <w:bottom w:val="single" w:color="14685E" w:sz="8" w:space="6"/>
        </w:pBdr>
        <w:spacing w:after="150" w:before="300"/>
      </w:pPr>
      <w:r>
        <w:rPr>
          <w:rFonts w:ascii="Calibri" w:cs="Calibri" w:eastAsia="Calibri" w:hAnsi="Calibri"/>
          <w:b/>
          <w:bCs/>
          <w:color w:val="1F3352"/>
          <w:sz w:val="27"/>
          <w:szCs w:val="27"/>
        </w:rPr>
        <w:t xml:space="preserve">5. Record retention</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300"/>
        <w:gridCol w:w="2400"/>
        <w:gridCol w:w="4660"/>
      </w:tblGrid>
      <w:tr>
        <w:trPr>
          <w:tblHeader/>
        </w:trPr>
        <w:tc>
          <w:tcPr>
            <w:tcW w:type="dxa" w:w="23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Record</w:t>
            </w:r>
          </w:p>
        </w:tc>
        <w:tc>
          <w:tcPr>
            <w:tcW w:type="dxa" w:w="2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Minimum</w:t>
            </w:r>
          </w:p>
        </w:tc>
        <w:tc>
          <w:tcPr>
            <w:tcW w:type="dxa" w:w="46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Why</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Personnel records</w:t>
            </w:r>
          </w:p>
        </w:tc>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4 years</w:t>
            </w:r>
          </w:p>
        </w:tc>
        <w:tc>
          <w:tcPr>
            <w:tcW w:type="dxa" w:w="4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California standard; covers the FEHA claim window</w:t>
            </w:r>
          </w:p>
        </w:tc>
      </w:tr>
      <w:tr>
        <w:tc>
          <w:tcPr>
            <w:tcW w:type="dxa" w:w="23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Payroll and time records</w:t>
            </w:r>
          </w:p>
        </w:tc>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3 years</w:t>
            </w:r>
          </w:p>
        </w:tc>
        <w:tc>
          <w:tcPr>
            <w:tcW w:type="dxa" w:w="46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Labor Code 226 and 1174</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Harassment training records</w:t>
            </w:r>
          </w:p>
        </w:tc>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2 years</w:t>
            </w:r>
          </w:p>
        </w:tc>
        <w:tc>
          <w:tcPr>
            <w:tcW w:type="dxa" w:w="4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Gov. Code 12950.1 — PRG standard is 4 years to match personnel files</w:t>
            </w:r>
          </w:p>
        </w:tc>
      </w:tr>
      <w:tr>
        <w:tc>
          <w:tcPr>
            <w:tcW w:type="dxa" w:w="23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Workplace violence records</w:t>
            </w:r>
          </w:p>
        </w:tc>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1–5 years</w:t>
            </w:r>
          </w:p>
        </w:tc>
        <w:tc>
          <w:tcPr>
            <w:tcW w:type="dxa" w:w="46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Labor Code 6401.9 — see PRG-R04 §3.2 for the breakdown</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Form I-9</w:t>
            </w:r>
          </w:p>
        </w:tc>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3 years after hire, or 1 year after termination, whichever is later</w:t>
            </w:r>
          </w:p>
        </w:tc>
        <w:tc>
          <w:tcPr>
            <w:tcW w:type="dxa" w:w="4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Federal</w:t>
            </w:r>
          </w:p>
        </w:tc>
      </w:tr>
    </w:tbl>
    <w:p>
      <w:pPr>
        <w:pStyle w:val="Heading1"/>
        <w:pBdr>
          <w:bottom w:val="single" w:color="14685E" w:sz="8" w:space="6"/>
        </w:pBdr>
        <w:spacing w:after="150" w:before="300"/>
      </w:pPr>
      <w:r>
        <w:rPr>
          <w:rFonts w:ascii="Calibri" w:cs="Calibri" w:eastAsia="Calibri" w:hAnsi="Calibri"/>
          <w:b/>
          <w:bCs/>
          <w:color w:val="1F3352"/>
          <w:sz w:val="27"/>
          <w:szCs w:val="27"/>
        </w:rPr>
        <w:t xml:space="preserve">6. How this runs in practice</w:t>
      </w:r>
    </w:p>
    <w:p>
      <w:pPr>
        <w:spacing w:after="120" w:line="276"/>
      </w:pPr>
      <w:r>
        <w:rPr>
          <w:rFonts w:ascii="Calibri" w:cs="Calibri" w:eastAsia="Calibri" w:hAnsi="Calibri"/>
          <w:color w:val="20242C"/>
          <w:sz w:val="21"/>
          <w:szCs w:val="21"/>
        </w:rPr>
        <w:t xml:space="preserve">Hires and separations are checklist work with hard legal deadlines attached, which makes them a bad fit for memory and a good fit for a system that dates the deadlines automatically.</w:t>
      </w:r>
    </w:p>
    <w:p>
      <w:pPr>
        <w:spacing w:after="120" w:line="276"/>
      </w:pPr>
      <w:r>
        <w:rPr>
          <w:rFonts w:ascii="Calibri" w:cs="Calibri" w:eastAsia="Calibri" w:hAnsi="Calibri"/>
          <w:color w:val="20242C"/>
          <w:sz w:val="21"/>
          <w:szCs w:val="21"/>
        </w:rPr>
        <w:t xml:space="preserve">PRSFlo generates the checklist from a template when a hire or separation is opened, with every date calculated off the start date or last day worked — the I-9 three-business-day deadline, the CalSavers thirty days, the six-month training clock. The separation checklist asks how the employment is ending before anything else, because that single answer sets the final pay deadline in §2.1, and it blocks on Eli's approval and Lynair's 48 hours' notice for an involuntary termination.</w:t>
      </w:r>
    </w:p>
    <w:p>
      <w:pPr>
        <w:spacing w:after="120" w:line="276"/>
      </w:pPr>
      <w:r>
        <w:rPr>
          <w:rFonts w:ascii="Calibri" w:cs="Calibri" w:eastAsia="Calibri" w:hAnsi="Calibri"/>
          <w:b/>
          <w:bCs/>
          <w:color w:val="20242C"/>
          <w:sz w:val="21"/>
          <w:szCs w:val="21"/>
        </w:rPr>
        <w:t xml:space="preserve">Until that ships, PRG-P02 is the checklist.</w:t>
      </w:r>
      <w:r>
        <w:rPr>
          <w:rFonts w:ascii="Calibri" w:cs="Calibri" w:eastAsia="Calibri" w:hAnsi="Calibri"/>
          <w:color w:val="20242C"/>
          <w:sz w:val="21"/>
          <w:szCs w:val="21"/>
        </w:rPr>
        <w:t xml:space="preserve"> Print it, work it, file it in the personnel record. The deadlines are the same; only the reminders are missing, which means they have to be diarized by hand.</w:t>
      </w:r>
    </w:p>
    <w:p>
      <w:pPr>
        <w:pStyle w:val="Heading1"/>
        <w:pBdr>
          <w:bottom w:val="single" w:color="14685E" w:sz="8" w:space="6"/>
        </w:pBdr>
        <w:spacing w:after="150" w:before="300"/>
      </w:pPr>
      <w:r>
        <w:rPr>
          <w:rFonts w:ascii="Calibri" w:cs="Calibri" w:eastAsia="Calibri" w:hAnsi="Calibri"/>
          <w:b/>
          <w:bCs/>
          <w:color w:val="1F3352"/>
          <w:sz w:val="27"/>
          <w:szCs w:val="27"/>
        </w:rPr>
        <w:t xml:space="preserve">7. Credentials</w:t>
      </w:r>
    </w:p>
    <w:p>
      <w:pPr>
        <w:spacing w:after="120" w:line="276"/>
      </w:pPr>
      <w:r>
        <w:rPr>
          <w:rFonts w:ascii="Calibri" w:cs="Calibri" w:eastAsia="Calibri" w:hAnsi="Calibri"/>
          <w:color w:val="20242C"/>
          <w:sz w:val="21"/>
          <w:szCs w:val="21"/>
        </w:rPr>
        <w:t xml:space="preserve">Login credentials for CalSavers and other third-party systems are deliberately </w:t>
      </w:r>
      <w:r>
        <w:rPr>
          <w:rFonts w:ascii="Calibri" w:cs="Calibri" w:eastAsia="Calibri" w:hAnsi="Calibri"/>
          <w:b/>
          <w:bCs/>
          <w:color w:val="20242C"/>
          <w:sz w:val="21"/>
          <w:szCs w:val="21"/>
        </w:rPr>
        <w:t xml:space="preserve">not</w:t>
      </w:r>
      <w:r>
        <w:rPr>
          <w:rFonts w:ascii="Calibri" w:cs="Calibri" w:eastAsia="Calibri" w:hAnsi="Calibri"/>
          <w:color w:val="20242C"/>
          <w:sz w:val="21"/>
          <w:szCs w:val="21"/>
        </w:rPr>
        <w:t xml:space="preserve"> printed in the protocol, since that document circulates. They live in the locked credential store. Give access directly, not through a document.</w:t>
      </w:r>
    </w:p>
    <w:p>
      <w:pPr>
        <w:pStyle w:val="Heading1"/>
        <w:pBdr>
          <w:bottom w:val="single" w:color="14685E" w:sz="8" w:space="6"/>
        </w:pBdr>
        <w:spacing w:after="150" w:before="300"/>
      </w:pPr>
      <w:r>
        <w:rPr>
          <w:rFonts w:ascii="Calibri" w:cs="Calibri" w:eastAsia="Calibri" w:hAnsi="Calibri"/>
          <w:b/>
          <w:bCs/>
          <w:color w:val="1F3352"/>
          <w:sz w:val="27"/>
          <w:szCs w:val="27"/>
        </w:rPr>
        <w:t xml:space="preserve">8. Scope</w:t>
      </w:r>
    </w:p>
    <w:p>
      <w:pPr>
        <w:spacing w:after="120" w:line="276"/>
      </w:pPr>
      <w:r>
        <w:rPr>
          <w:rFonts w:ascii="Calibri" w:cs="Calibri" w:eastAsia="Calibri" w:hAnsi="Calibri"/>
          <w:color w:val="20242C"/>
          <w:sz w:val="21"/>
          <w:szCs w:val="21"/>
        </w:rPr>
        <w:t xml:space="preserve">Background, not legal advice. Accurate as of August 2026, but hiring and separation law changes yearly.</w:t>
      </w:r>
    </w:p>
    <w:p>
      <w:pPr>
        <w:spacing w:after="120" w:line="276"/>
      </w:pPr>
      <w:r>
        <w:rPr>
          <w:rFonts w:ascii="Calibri" w:cs="Calibri" w:eastAsia="Calibri" w:hAnsi="Calibri"/>
          <w:color w:val="20242C"/>
          <w:sz w:val="21"/>
          <w:szCs w:val="21"/>
        </w:rPr>
        <w:t xml:space="preserve">Have an employment attorney or CalChamber HR advisor review §3 (the notices list, checked against what ADP already delivers) and §2.1 (final pay, checked against how we handle PTO accrual).</w:t>
      </w:r>
    </w:p>
    <w:p>
      <w:pPr>
        <w:pStyle w:val="Heading1"/>
        <w:pBdr>
          <w:bottom w:val="single" w:color="14685E" w:sz="8" w:space="6"/>
        </w:pBdr>
        <w:spacing w:after="150" w:before="300"/>
      </w:pPr>
      <w:r>
        <w:rPr>
          <w:rFonts w:ascii="Calibri" w:cs="Calibri" w:eastAsia="Calibri" w:hAnsi="Calibri"/>
          <w:b/>
          <w:bCs/>
          <w:color w:val="1F3352"/>
          <w:sz w:val="27"/>
          <w:szCs w:val="27"/>
        </w:rPr>
        <w:t xml:space="preserve">9. Related</w:t>
      </w:r>
    </w:p>
    <w:p>
      <w:pPr>
        <w:pStyle w:val="ListParagraph"/>
        <w:numPr>
          <w:ilvl w:val="0"/>
          <w:numId w:val="2"/>
        </w:numPr>
        <w:spacing w:after="60" w:line="264"/>
      </w:pPr>
      <w:r>
        <w:rPr>
          <w:rFonts w:ascii="Calibri" w:cs="Calibri" w:eastAsia="Calibri" w:hAnsi="Calibri"/>
          <w:b/>
          <w:bCs/>
          <w:color w:val="20242C"/>
          <w:sz w:val="21"/>
          <w:szCs w:val="21"/>
        </w:rPr>
        <w:t xml:space="preserve">PRG-P02</w:t>
      </w:r>
      <w:r>
        <w:rPr>
          <w:rFonts w:ascii="Calibri" w:cs="Calibri" w:eastAsia="Calibri" w:hAnsi="Calibri"/>
          <w:color w:val="20242C"/>
          <w:sz w:val="21"/>
          <w:szCs w:val="21"/>
        </w:rPr>
        <w:t xml:space="preserve"> — Hiring &amp; Separation (the protocol)</w:t>
      </w:r>
    </w:p>
    <w:p>
      <w:pPr>
        <w:pStyle w:val="ListParagraph"/>
        <w:numPr>
          <w:ilvl w:val="0"/>
          <w:numId w:val="2"/>
        </w:numPr>
        <w:spacing w:after="60" w:line="264"/>
      </w:pPr>
      <w:r>
        <w:rPr>
          <w:rFonts w:ascii="Calibri" w:cs="Calibri" w:eastAsia="Calibri" w:hAnsi="Calibri"/>
          <w:color w:val="20242C"/>
          <w:sz w:val="21"/>
          <w:szCs w:val="21"/>
        </w:rPr>
        <w:t xml:space="preserve">PRG-R04 / P04 — Required Training (the new hire triggers)</w:t>
      </w:r>
    </w:p>
    <w:p>
      <w:pPr>
        <w:pStyle w:val="ListParagraph"/>
        <w:numPr>
          <w:ilvl w:val="0"/>
          <w:numId w:val="2"/>
        </w:numPr>
        <w:spacing w:after="60" w:line="264"/>
      </w:pPr>
      <w:r>
        <w:rPr>
          <w:rFonts w:ascii="Calibri" w:cs="Calibri" w:eastAsia="Calibri" w:hAnsi="Calibri"/>
          <w:color w:val="20242C"/>
          <w:sz w:val="21"/>
          <w:szCs w:val="21"/>
        </w:rPr>
        <w:t xml:space="preserve">PRG-R01 / P01 — Timecards</w:t>
      </w:r>
    </w:p>
    <w:p>
      <w:pPr>
        <w:pStyle w:val="ListParagraph"/>
        <w:numPr>
          <w:ilvl w:val="0"/>
          <w:numId w:val="2"/>
        </w:numPr>
        <w:spacing w:after="60" w:line="264"/>
      </w:pPr>
      <w:r>
        <w:rPr>
          <w:rFonts w:ascii="Calibri" w:cs="Calibri" w:eastAsia="Calibri" w:hAnsi="Calibri"/>
          <w:color w:val="20242C"/>
          <w:sz w:val="21"/>
          <w:szCs w:val="21"/>
        </w:rPr>
        <w:t xml:space="preserve">PRSFlo Build Spec — the checklist engine that will automate this</w:t>
      </w:r>
    </w:p>
    <w:sectPr>
      <w:headerReference w:type="default" r:id="rId7"/>
      <w:footerReference w:type="default" r:id="rId8"/>
      <w:pgSz w:w="12240" w:h="15840" w:orient="portrait"/>
      <w:pgMar w:top="1000" w:right="1440" w:bottom="1000" w:left="144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F6B"/>
        <w:sz w:val="15"/>
        <w:szCs w:val="15"/>
      </w:rPr>
      <w:t xml:space="preserve">PRG-R02  ·  Rev. 3.0  ·  August 2026  ·  Page </w:t>
    </w:r>
    <w:r>
      <w:rPr>
        <w:rFonts w:ascii="Calibri" w:cs="Calibri" w:eastAsia="Calibri" w:hAnsi="Calibri"/>
        <w:color w:val="5A5F6B"/>
        <w:sz w:val="15"/>
        <w:szCs w:val="15"/>
      </w:rPr>
      <w:fldChar w:fldCharType="begin"/>
      <w:instrText xml:space="preserve">PAGE</w:instrText>
      <w:fldChar w:fldCharType="separate"/>
      <w:fldChar w:fldCharType="end"/>
    </w:r>
    <w:r>
      <w:rPr>
        <w:rFonts w:ascii="Calibri" w:cs="Calibri" w:eastAsia="Calibri" w:hAnsi="Calibri"/>
        <w:color w:val="5A5F6B"/>
        <w:sz w:val="15"/>
        <w:szCs w:val="15"/>
      </w:rPr>
      <w:t xml:space="preserve"> of </w:t>
    </w:r>
    <w:r>
      <w:rPr>
        <w:rFonts w:ascii="Calibri" w:cs="Calibri" w:eastAsia="Calibri" w:hAnsi="Calibri"/>
        <w:color w:val="5A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DD6" w:sz="4" w:space="4"/>
      </w:pBdr>
      <w:spacing w:after="0"/>
    </w:pPr>
    <w:r>
      <w:rPr>
        <w:rFonts w:ascii="Calibri" w:cs="Calibri" w:eastAsia="Calibri" w:hAnsi="Calibri"/>
        <w:b/>
        <w:bCs/>
        <w:color w:val="1F3352"/>
        <w:spacing w:val="30"/>
        <w:sz w:val="15"/>
        <w:szCs w:val="15"/>
      </w:rPr>
      <w:t xml:space="preserve">PARAMOUNT RECORDING GROUP</w:t>
    </w:r>
    <w:r>
      <w:rPr>
        <w:rFonts w:ascii="Calibri" w:cs="Calibri" w:eastAsia="Calibri" w:hAnsi="Calibri"/>
        <w:color w:val="5A5F6B"/>
        <w:sz w:val="15"/>
        <w:szCs w:val="15"/>
      </w:rPr>
      <w:t xml:space="preserve">  |  PRG-R02 — Hiring &amp; Separation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bullet"/>
      <w:lvlText w:val="□"/>
      <w:lvlJc w:val="left"/>
      <w:pPr>
        <w:ind w:left="460" w:hanging="302"/>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2026-08-06T22:17:53.627Z</dcterms:created>
  <dcterms:modified xsi:type="dcterms:W3CDTF">2026-08-06T22:17:53.627Z</dcterms:modified>
</cp:coreProperties>
</file>

<file path=docProps/custom.xml><?xml version="1.0" encoding="utf-8"?>
<Properties xmlns="http://schemas.openxmlformats.org/officeDocument/2006/custom-properties" xmlns:vt="http://schemas.openxmlformats.org/officeDocument/2006/docPropsVTypes"/>
</file>