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Calibri" w:cs="Calibri" w:eastAsia="Calibri" w:hAnsi="Calibri"/>
          <w:b/>
          <w:bCs/>
          <w:color w:val="1F3352"/>
          <w:spacing w:val="40"/>
          <w:sz w:val="19"/>
          <w:szCs w:val="19"/>
        </w:rPr>
        <w:t xml:space="preserve">PRG-R04</w:t>
      </w:r>
      <w:r>
        <w:rPr>
          <w:rFonts w:ascii="Calibri" w:cs="Calibri" w:eastAsia="Calibri" w:hAnsi="Calibri"/>
          <w:b/>
          <w:bCs/>
          <w:color w:val="5A5F6B"/>
          <w:spacing w:val="30"/>
          <w:sz w:val="15"/>
          <w:szCs w:val="15"/>
        </w:rPr>
        <w:t xml:space="preserve">      REFERENCE — WHAT IT IS AND WHY</w:t>
      </w:r>
    </w:p>
    <w:p>
      <w:pPr>
        <w:spacing w:after="50"/>
      </w:pPr>
      <w:r>
        <w:rPr>
          <w:rFonts w:ascii="Calibri" w:cs="Calibri" w:eastAsia="Calibri" w:hAnsi="Calibri"/>
          <w:b/>
          <w:bCs/>
          <w:color w:val="1F3352"/>
          <w:sz w:val="38"/>
          <w:szCs w:val="38"/>
        </w:rPr>
        <w:t xml:space="preserve">Required Training</w:t>
      </w:r>
    </w:p>
    <w:p>
      <w:pPr>
        <w:pBdr>
          <w:bottom w:val="single" w:color="1F3352" w:sz="14" w:space="8"/>
        </w:pBdr>
        <w:spacing w:after="200"/>
      </w:pPr>
      <w:r>
        <w:rPr>
          <w:rFonts w:ascii="Calibri" w:cs="Calibri" w:eastAsia="Calibri" w:hAnsi="Calibri"/>
          <w:i/>
          <w:iCs/>
          <w:color w:val="5A5F6B"/>
          <w:sz w:val="21"/>
          <w:szCs w:val="21"/>
        </w:rPr>
        <w:t xml:space="preserve">Harassment prevention and workplace violence prevention — the law and the reasoning</w:t>
      </w:r>
    </w:p>
    <w:tbl>
      <w:tblPr>
        <w:tblW w:type="dxa" w:w="9360"/>
        <w:tblBorders>
          <w:top w:val="single" w:color="B9C1CC" w:sz="2"/>
          <w:left w:val="single" w:color="B9C1CC" w:sz="2"/>
          <w:bottom w:val="single" w:color="B9C1CC" w:sz="2"/>
          <w:right w:val="single" w:color="B9C1CC" w:sz="2"/>
          <w:insideH w:val="single" w:color="D8DEE6" w:sz="2"/>
          <w:insideV w:val="single" w:color="D8DEE6" w:sz="2"/>
        </w:tblBorders>
      </w:tblPr>
      <w:tblGrid>
        <w:gridCol w:w="2100"/>
        <w:gridCol w:w="7260"/>
      </w:tblGrid>
      <w:tr>
        <w:trPr>
          <w:tblHeader/>
        </w:trPr>
        <w:tc>
          <w:tcPr>
            <w:tcW w:type="dxa" w:w="2100"/>
            <w:shd w:fill="1F3352"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Field</w:t>
            </w:r>
          </w:p>
        </w:tc>
        <w:tc>
          <w:tcPr>
            <w:tcW w:type="dxa" w:w="7260"/>
            <w:shd w:fill="1F3352"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Detail</w:t>
            </w:r>
          </w:p>
        </w:tc>
      </w:tr>
      <w:tr>
        <w:tc>
          <w:tcPr>
            <w:tcW w:type="dxa" w:w="21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Read if</w:t>
            </w:r>
          </w:p>
        </w:tc>
        <w:tc>
          <w:tcPr>
            <w:tcW w:type="dxa" w:w="726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New to the role, or an edge case comes up</w:t>
            </w:r>
          </w:p>
        </w:tc>
      </w:tr>
      <w:tr>
        <w:tc>
          <w:tcPr>
            <w:tcW w:type="dxa" w:w="210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Daily use</w:t>
            </w:r>
          </w:p>
        </w:tc>
        <w:tc>
          <w:tcPr>
            <w:tcW w:type="dxa" w:w="7260"/>
            <w:shd w:fill="F6F8FA" w:val="clear"/>
            <w:tcMar>
              <w:top w:type="dxa" w:w="70"/>
              <w:left w:type="dxa" w:w="100"/>
              <w:bottom w:type="dxa" w:w="70"/>
              <w:right w:type="dxa" w:w="100"/>
            </w:tcMar>
          </w:tcPr>
          <w:p>
            <w:pPr>
              <w:spacing w:after="0" w:line="258"/>
            </w:pPr>
            <w:r>
              <w:rPr>
                <w:rFonts w:ascii="Calibri" w:cs="Calibri" w:eastAsia="Calibri" w:hAnsi="Calibri"/>
                <w:b/>
                <w:bCs/>
                <w:color w:val="20242C"/>
                <w:sz w:val="19"/>
                <w:szCs w:val="19"/>
              </w:rPr>
              <w:t xml:space="preserve">PRG-P04</w:t>
            </w:r>
          </w:p>
        </w:tc>
      </w:tr>
      <w:tr>
        <w:tc>
          <w:tcPr>
            <w:tcW w:type="dxa" w:w="21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Covers</w:t>
            </w:r>
          </w:p>
        </w:tc>
        <w:tc>
          <w:tcPr>
            <w:tcW w:type="dxa" w:w="726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Gov. Code § 12950.1 · Labor Code § 6401.9</w:t>
            </w:r>
          </w:p>
        </w:tc>
      </w:tr>
      <w:tr>
        <w:tc>
          <w:tcPr>
            <w:tcW w:type="dxa" w:w="210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Deadline</w:t>
            </w:r>
          </w:p>
        </w:tc>
        <w:tc>
          <w:tcPr>
            <w:tcW w:type="dxa" w:w="726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Harassment: </w:t>
            </w:r>
            <w:r>
              <w:rPr>
                <w:rFonts w:ascii="Calibri" w:cs="Calibri" w:eastAsia="Calibri" w:hAnsi="Calibri"/>
                <w:b/>
                <w:bCs/>
                <w:color w:val="20242C"/>
                <w:sz w:val="19"/>
                <w:szCs w:val="19"/>
              </w:rPr>
              <w:t xml:space="preserve">January 1, 2027</w:t>
            </w:r>
          </w:p>
        </w:tc>
      </w:tr>
    </w:tbl>
    <w:p>
      <w:pPr>
        <w:spacing w:after="190"/>
      </w:pPr>
    </w:p>
    <w:p>
      <w:pPr>
        <w:pStyle w:val="Heading1"/>
        <w:pBdr>
          <w:bottom w:val="single" w:color="14685E" w:sz="8" w:space="6"/>
        </w:pBdr>
        <w:spacing w:after="150" w:before="300"/>
      </w:pPr>
      <w:r>
        <w:rPr>
          <w:rFonts w:ascii="Calibri" w:cs="Calibri" w:eastAsia="Calibri" w:hAnsi="Calibri"/>
          <w:b/>
          <w:bCs/>
          <w:color w:val="1F3352"/>
          <w:sz w:val="27"/>
          <w:szCs w:val="27"/>
        </w:rPr>
        <w:t xml:space="preserve">1. Two laws, not one</w:t>
      </w:r>
    </w:p>
    <w:p>
      <w:pPr>
        <w:spacing w:after="120" w:line="276"/>
      </w:pPr>
      <w:r>
        <w:rPr>
          <w:rFonts w:ascii="Calibri" w:cs="Calibri" w:eastAsia="Calibri" w:hAnsi="Calibri"/>
          <w:color w:val="20242C"/>
          <w:sz w:val="21"/>
          <w:szCs w:val="21"/>
        </w:rPr>
        <w:t xml:space="preserve">These get conflated constantly, and the cycles are different. Keeping them straight is most of the compliance work.</w:t>
      </w:r>
    </w:p>
    <w:tbl>
      <w:tblPr>
        <w:tblW w:type="dxa" w:w="9360"/>
        <w:tblBorders>
          <w:top w:val="single" w:color="B9C1CC" w:sz="2"/>
          <w:left w:val="single" w:color="B9C1CC" w:sz="2"/>
          <w:bottom w:val="single" w:color="B9C1CC" w:sz="2"/>
          <w:right w:val="single" w:color="B9C1CC" w:sz="2"/>
          <w:insideH w:val="single" w:color="D8DEE6" w:sz="2"/>
          <w:insideV w:val="single" w:color="D8DEE6" w:sz="2"/>
        </w:tblBorders>
      </w:tblPr>
      <w:tblGrid>
        <w:gridCol w:w="1500"/>
        <w:gridCol w:w="4000"/>
        <w:gridCol w:w="3860"/>
      </w:tblGrid>
      <w:tr>
        <w:trPr>
          <w:tblHeader/>
        </w:trPr>
        <w:tc>
          <w:tcPr>
            <w:tcW w:type="dxa" w:w="1500"/>
            <w:shd w:fill="1F3352"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
            </w:r>
          </w:p>
        </w:tc>
        <w:tc>
          <w:tcPr>
            <w:tcW w:type="dxa" w:w="4000"/>
            <w:shd w:fill="1F3352"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Harassment prevention</w:t>
            </w:r>
          </w:p>
        </w:tc>
        <w:tc>
          <w:tcPr>
            <w:tcW w:type="dxa" w:w="3860"/>
            <w:shd w:fill="1F3352"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Workplace violence prevention</w:t>
            </w:r>
          </w:p>
        </w:tc>
      </w:tr>
      <w:tr>
        <w:tc>
          <w:tcPr>
            <w:tcW w:type="dxa" w:w="15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Law</w:t>
            </w:r>
          </w:p>
        </w:tc>
        <w:tc>
          <w:tcPr>
            <w:tcW w:type="dxa" w:w="40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Gov. Code § 12950.1 (SB 1343)</w:t>
            </w:r>
          </w:p>
        </w:tc>
        <w:tc>
          <w:tcPr>
            <w:tcW w:type="dxa" w:w="386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Labor Code § 6401.9 (SB 553)</w:t>
            </w:r>
          </w:p>
        </w:tc>
      </w:tr>
      <w:tr>
        <w:tc>
          <w:tcPr>
            <w:tcW w:type="dxa" w:w="150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Enforced by</w:t>
            </w:r>
          </w:p>
        </w:tc>
        <w:tc>
          <w:tcPr>
            <w:tcW w:type="dxa" w:w="400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Civil Rights Department (CRD)</w:t>
            </w:r>
          </w:p>
        </w:tc>
        <w:tc>
          <w:tcPr>
            <w:tcW w:type="dxa" w:w="386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Cal/OSHA</w:t>
            </w:r>
          </w:p>
        </w:tc>
      </w:tr>
      <w:tr>
        <w:tc>
          <w:tcPr>
            <w:tcW w:type="dxa" w:w="15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Cycle</w:t>
            </w:r>
          </w:p>
        </w:tc>
        <w:tc>
          <w:tcPr>
            <w:tcW w:type="dxa" w:w="4000"/>
            <w:shd w:fill="FFFFFF" w:val="clear"/>
            <w:tcMar>
              <w:top w:type="dxa" w:w="70"/>
              <w:left w:type="dxa" w:w="100"/>
              <w:bottom w:type="dxa" w:w="70"/>
              <w:right w:type="dxa" w:w="100"/>
            </w:tcMar>
          </w:tcPr>
          <w:p>
            <w:pPr>
              <w:spacing w:after="0" w:line="258"/>
            </w:pPr>
            <w:r>
              <w:rPr>
                <w:rFonts w:ascii="Calibri" w:cs="Calibri" w:eastAsia="Calibri" w:hAnsi="Calibri"/>
                <w:b/>
                <w:bCs/>
                <w:color w:val="20242C"/>
                <w:sz w:val="19"/>
                <w:szCs w:val="19"/>
              </w:rPr>
              <w:t xml:space="preserve">Every 2 years</w:t>
            </w:r>
          </w:p>
        </w:tc>
        <w:tc>
          <w:tcPr>
            <w:tcW w:type="dxa" w:w="3860"/>
            <w:shd w:fill="FFFFFF" w:val="clear"/>
            <w:tcMar>
              <w:top w:type="dxa" w:w="70"/>
              <w:left w:type="dxa" w:w="100"/>
              <w:bottom w:type="dxa" w:w="70"/>
              <w:right w:type="dxa" w:w="100"/>
            </w:tcMar>
          </w:tcPr>
          <w:p>
            <w:pPr>
              <w:spacing w:after="0" w:line="258"/>
            </w:pPr>
            <w:r>
              <w:rPr>
                <w:rFonts w:ascii="Calibri" w:cs="Calibri" w:eastAsia="Calibri" w:hAnsi="Calibri"/>
                <w:b/>
                <w:bCs/>
                <w:color w:val="20242C"/>
                <w:sz w:val="19"/>
                <w:szCs w:val="19"/>
              </w:rPr>
              <w:t xml:space="preserve">Every year</w:t>
            </w:r>
          </w:p>
        </w:tc>
      </w:tr>
      <w:tr>
        <w:tc>
          <w:tcPr>
            <w:tcW w:type="dxa" w:w="150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New hires</w:t>
            </w:r>
          </w:p>
        </w:tc>
        <w:tc>
          <w:tcPr>
            <w:tcW w:type="dxa" w:w="400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Within 6 months</w:t>
            </w:r>
          </w:p>
        </w:tc>
        <w:tc>
          <w:tcPr>
            <w:tcW w:type="dxa" w:w="3860"/>
            <w:shd w:fill="F6F8FA" w:val="clear"/>
            <w:tcMar>
              <w:top w:type="dxa" w:w="70"/>
              <w:left w:type="dxa" w:w="100"/>
              <w:bottom w:type="dxa" w:w="70"/>
              <w:right w:type="dxa" w:w="100"/>
            </w:tcMar>
          </w:tcPr>
          <w:p>
            <w:pPr>
              <w:spacing w:after="0" w:line="258"/>
            </w:pPr>
            <w:r>
              <w:rPr>
                <w:rFonts w:ascii="Calibri" w:cs="Calibri" w:eastAsia="Calibri" w:hAnsi="Calibri"/>
                <w:b/>
                <w:bCs/>
                <w:color w:val="20242C"/>
                <w:sz w:val="19"/>
                <w:szCs w:val="19"/>
              </w:rPr>
              <w:t xml:space="preserve">At hire</w:t>
            </w:r>
          </w:p>
        </w:tc>
      </w:tr>
      <w:tr>
        <w:tc>
          <w:tcPr>
            <w:tcW w:type="dxa" w:w="15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Length</w:t>
            </w:r>
          </w:p>
        </w:tc>
        <w:tc>
          <w:tcPr>
            <w:tcW w:type="dxa" w:w="40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2 hrs supervisors / 1 hr others</w:t>
            </w:r>
          </w:p>
        </w:tc>
        <w:tc>
          <w:tcPr>
            <w:tcW w:type="dxa" w:w="386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No set length — must cover the plan and be effective</w:t>
            </w:r>
          </w:p>
        </w:tc>
      </w:tr>
      <w:tr>
        <w:tc>
          <w:tcPr>
            <w:tcW w:type="dxa" w:w="150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Also requires</w:t>
            </w:r>
          </w:p>
        </w:tc>
        <w:tc>
          <w:tcPr>
            <w:tcW w:type="dxa" w:w="400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Written policy, CRD poster</w:t>
            </w:r>
          </w:p>
        </w:tc>
        <w:tc>
          <w:tcPr>
            <w:tcW w:type="dxa" w:w="3860"/>
            <w:shd w:fill="F6F8FA" w:val="clear"/>
            <w:tcMar>
              <w:top w:type="dxa" w:w="70"/>
              <w:left w:type="dxa" w:w="100"/>
              <w:bottom w:type="dxa" w:w="70"/>
              <w:right w:type="dxa" w:w="100"/>
            </w:tcMar>
          </w:tcPr>
          <w:p>
            <w:pPr>
              <w:spacing w:after="0" w:line="258"/>
            </w:pPr>
            <w:r>
              <w:rPr>
                <w:rFonts w:ascii="Calibri" w:cs="Calibri" w:eastAsia="Calibri" w:hAnsi="Calibri"/>
                <w:b/>
                <w:bCs/>
                <w:color w:val="20242C"/>
                <w:sz w:val="19"/>
                <w:szCs w:val="19"/>
              </w:rPr>
              <w:t xml:space="preserve">Written plan, violent incident log, hazard records</w:t>
            </w:r>
          </w:p>
        </w:tc>
      </w:tr>
      <w:tr>
        <w:tc>
          <w:tcPr>
            <w:tcW w:type="dxa" w:w="15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Next deadline</w:t>
            </w:r>
          </w:p>
        </w:tc>
        <w:tc>
          <w:tcPr>
            <w:tcW w:type="dxa" w:w="4000"/>
            <w:shd w:fill="FFFFFF" w:val="clear"/>
            <w:tcMar>
              <w:top w:type="dxa" w:w="70"/>
              <w:left w:type="dxa" w:w="100"/>
              <w:bottom w:type="dxa" w:w="70"/>
              <w:right w:type="dxa" w:w="100"/>
            </w:tcMar>
          </w:tcPr>
          <w:p>
            <w:pPr>
              <w:spacing w:after="0" w:line="258"/>
            </w:pPr>
            <w:r>
              <w:rPr>
                <w:rFonts w:ascii="Calibri" w:cs="Calibri" w:eastAsia="Calibri" w:hAnsi="Calibri"/>
                <w:b/>
                <w:bCs/>
                <w:color w:val="20242C"/>
                <w:sz w:val="19"/>
                <w:szCs w:val="19"/>
              </w:rPr>
              <w:t xml:space="preserve">January 1, 2027</w:t>
            </w:r>
          </w:p>
        </w:tc>
        <w:tc>
          <w:tcPr>
            <w:tcW w:type="dxa" w:w="386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Rolling — annual from each person's last training</w:t>
            </w:r>
          </w:p>
        </w:tc>
      </w:tr>
    </w:tbl>
    <w:p>
      <w:pPr>
        <w:pStyle w:val="Heading1"/>
        <w:pBdr>
          <w:bottom w:val="single" w:color="14685E" w:sz="8" w:space="6"/>
        </w:pBdr>
        <w:spacing w:after="150" w:before="300"/>
      </w:pPr>
      <w:r>
        <w:rPr>
          <w:rFonts w:ascii="Calibri" w:cs="Calibri" w:eastAsia="Calibri" w:hAnsi="Calibri"/>
          <w:b/>
          <w:bCs/>
          <w:color w:val="1F3352"/>
          <w:sz w:val="27"/>
          <w:szCs w:val="27"/>
        </w:rPr>
        <w:t xml:space="preserve">2. Where PRG stands on harassment</w:t>
      </w:r>
    </w:p>
    <w:p>
      <w:pPr>
        <w:spacing w:after="120" w:line="276"/>
      </w:pPr>
      <w:r>
        <w:rPr>
          <w:rFonts w:ascii="Calibri" w:cs="Calibri" w:eastAsia="Calibri" w:hAnsi="Calibri"/>
          <w:color w:val="20242C"/>
          <w:sz w:val="21"/>
          <w:szCs w:val="21"/>
        </w:rPr>
        <w:t xml:space="preserve">Approximately 15 employees, well over the five-employee threshold. Training is mandatory for every California-based employee.</w:t>
      </w:r>
    </w:p>
    <w:p>
      <w:pPr>
        <w:spacing w:after="40"/>
      </w:pPr>
    </w:p>
    <w:tbl>
      <w:tblPr>
        <w:tblW w:type="dxa" w:w="9360"/>
        <w:tblBorders>
          <w:top w:val="single" w:color="C9822B" w:sz="4"/>
          <w:left w:val="single" w:color="C9822B" w:sz="22"/>
          <w:bottom w:val="single" w:color="C9822B" w:sz="4"/>
          <w:right w:val="single" w:color="C9822B" w:sz="4"/>
          <w:insideH w:val="none"/>
          <w:insideV w:val="none"/>
        </w:tblBorders>
      </w:tblPr>
      <w:tblGrid>
        <w:gridCol w:w="9360"/>
      </w:tblGrid>
      <w:tr>
        <w:tc>
          <w:tcPr>
            <w:tcW w:type="dxa" w:w="9360"/>
            <w:shd w:fill="FDF3E3" w:val="clear"/>
            <w:tcMar>
              <w:top w:type="dxa" w:w="130"/>
              <w:left w:type="dxa" w:w="170"/>
              <w:bottom w:type="dxa" w:w="130"/>
              <w:right w:type="dxa" w:w="170"/>
            </w:tcMar>
          </w:tcPr>
          <w:p>
            <w:pPr>
              <w:spacing w:after="80"/>
            </w:pPr>
            <w:r>
              <w:rPr>
                <w:rFonts w:ascii="Calibri" w:cs="Calibri" w:eastAsia="Calibri" w:hAnsi="Calibri"/>
                <w:b/>
                <w:bCs/>
                <w:color w:val="1F3352"/>
                <w:sz w:val="21"/>
                <w:szCs w:val="21"/>
              </w:rPr>
              <w:t xml:space="preserve">The date that matters</w:t>
            </w:r>
          </w:p>
          <w:p>
            <w:pPr>
              <w:spacing w:after="0" w:line="264"/>
            </w:pPr>
            <w:r>
              <w:rPr>
                <w:rFonts w:ascii="Calibri" w:cs="Calibri" w:eastAsia="Calibri" w:hAnsi="Calibri"/>
                <w:b/>
                <w:bCs/>
                <w:color w:val="20242C"/>
                <w:sz w:val="20"/>
                <w:szCs w:val="20"/>
              </w:rPr>
              <w:t xml:space="preserve">All employees trained by January 1, 2027.</w:t>
            </w:r>
            <w:r>
              <w:rPr>
                <w:rFonts w:ascii="Calibri" w:cs="Calibri" w:eastAsia="Calibri" w:hAnsi="Calibri"/>
                <w:color w:val="20242C"/>
                <w:sz w:val="20"/>
                <w:szCs w:val="20"/>
              </w:rPr>
              <w:t xml:space="preserve"> Internal target: December 1, 2026.</w:t>
            </w:r>
          </w:p>
        </w:tc>
      </w:tr>
    </w:tbl>
    <w:p>
      <w:pPr>
        <w:spacing w:after="110"/>
      </w:pPr>
    </w:p>
    <w:p>
      <w:pPr>
        <w:spacing w:after="120" w:line="276"/>
      </w:pPr>
      <w:r>
        <w:rPr>
          <w:rFonts w:ascii="Calibri" w:cs="Calibri" w:eastAsia="Calibri" w:hAnsi="Calibri"/>
          <w:color w:val="20242C"/>
          <w:sz w:val="21"/>
          <w:szCs w:val="21"/>
        </w:rPr>
        <w:t xml:space="preserve">Independent contractors, unpaid interns, and volunteers </w:t>
      </w:r>
      <w:r>
        <w:rPr>
          <w:rFonts w:ascii="Calibri" w:cs="Calibri" w:eastAsia="Calibri" w:hAnsi="Calibri"/>
          <w:b/>
          <w:bCs/>
          <w:color w:val="20242C"/>
          <w:sz w:val="21"/>
          <w:szCs w:val="21"/>
        </w:rPr>
        <w:t xml:space="preserve">count toward</w:t>
      </w:r>
      <w:r>
        <w:rPr>
          <w:rFonts w:ascii="Calibri" w:cs="Calibri" w:eastAsia="Calibri" w:hAnsi="Calibri"/>
          <w:color w:val="20242C"/>
          <w:sz w:val="21"/>
          <w:szCs w:val="21"/>
        </w:rPr>
        <w:t xml:space="preserve"> the five-employee minimum even though they are not themselves required to be trained. PRG is covered regardless of how the W-2 headcount moves.</w:t>
      </w:r>
    </w:p>
    <w:p>
      <w:pPr>
        <w:pStyle w:val="Heading2"/>
        <w:spacing w:after="100" w:before="240"/>
      </w:pPr>
      <w:r>
        <w:rPr>
          <w:rFonts w:ascii="Calibri" w:cs="Calibri" w:eastAsia="Calibri" w:hAnsi="Calibri"/>
          <w:b/>
          <w:bCs/>
          <w:color w:val="14685E"/>
          <w:sz w:val="22"/>
          <w:szCs w:val="22"/>
        </w:rPr>
        <w:t xml:space="preserve">2.1 What the law requires</w:t>
      </w:r>
    </w:p>
    <w:tbl>
      <w:tblPr>
        <w:tblW w:type="dxa" w:w="9360"/>
        <w:tblBorders>
          <w:top w:val="single" w:color="B9C1CC" w:sz="2"/>
          <w:left w:val="single" w:color="B9C1CC" w:sz="2"/>
          <w:bottom w:val="single" w:color="B9C1CC" w:sz="2"/>
          <w:right w:val="single" w:color="B9C1CC" w:sz="2"/>
          <w:insideH w:val="single" w:color="D8DEE6" w:sz="2"/>
          <w:insideV w:val="single" w:color="D8DEE6" w:sz="2"/>
        </w:tblBorders>
      </w:tblPr>
      <w:tblGrid>
        <w:gridCol w:w="2700"/>
        <w:gridCol w:w="6660"/>
      </w:tblGrid>
      <w:tr>
        <w:trPr>
          <w:tblHeader/>
        </w:trPr>
        <w:tc>
          <w:tcPr>
            <w:tcW w:type="dxa" w:w="2700"/>
            <w:shd w:fill="1F3352"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Requirement</w:t>
            </w:r>
          </w:p>
        </w:tc>
        <w:tc>
          <w:tcPr>
            <w:tcW w:type="dxa" w:w="6660"/>
            <w:shd w:fill="1F3352"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Detail</w:t>
            </w:r>
          </w:p>
        </w:tc>
      </w:tr>
      <w:tr>
        <w:tc>
          <w:tcPr>
            <w:tcW w:type="dxa" w:w="27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Supervisory</w:t>
            </w:r>
          </w:p>
        </w:tc>
        <w:tc>
          <w:tcPr>
            <w:tcW w:type="dxa" w:w="6660"/>
            <w:shd w:fill="FFFFFF" w:val="clear"/>
            <w:tcMar>
              <w:top w:type="dxa" w:w="70"/>
              <w:left w:type="dxa" w:w="100"/>
              <w:bottom w:type="dxa" w:w="70"/>
              <w:right w:type="dxa" w:w="100"/>
            </w:tcMar>
          </w:tcPr>
          <w:p>
            <w:pPr>
              <w:spacing w:after="0" w:line="258"/>
            </w:pPr>
            <w:r>
              <w:rPr>
                <w:rFonts w:ascii="Calibri" w:cs="Calibri" w:eastAsia="Calibri" w:hAnsi="Calibri"/>
                <w:b/>
                <w:bCs/>
                <w:color w:val="20242C"/>
                <w:sz w:val="19"/>
                <w:szCs w:val="19"/>
              </w:rPr>
              <w:t xml:space="preserve">2 hours</w:t>
            </w:r>
          </w:p>
        </w:tc>
      </w:tr>
      <w:tr>
        <w:tc>
          <w:tcPr>
            <w:tcW w:type="dxa" w:w="270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Non-supervisory</w:t>
            </w:r>
          </w:p>
        </w:tc>
        <w:tc>
          <w:tcPr>
            <w:tcW w:type="dxa" w:w="6660"/>
            <w:shd w:fill="F6F8FA" w:val="clear"/>
            <w:tcMar>
              <w:top w:type="dxa" w:w="70"/>
              <w:left w:type="dxa" w:w="100"/>
              <w:bottom w:type="dxa" w:w="70"/>
              <w:right w:type="dxa" w:w="100"/>
            </w:tcMar>
          </w:tcPr>
          <w:p>
            <w:pPr>
              <w:spacing w:after="0" w:line="258"/>
            </w:pPr>
            <w:r>
              <w:rPr>
                <w:rFonts w:ascii="Calibri" w:cs="Calibri" w:eastAsia="Calibri" w:hAnsi="Calibri"/>
                <w:b/>
                <w:bCs/>
                <w:color w:val="20242C"/>
                <w:sz w:val="19"/>
                <w:szCs w:val="19"/>
              </w:rPr>
              <w:t xml:space="preserve">1 hour</w:t>
            </w:r>
          </w:p>
        </w:tc>
      </w:tr>
      <w:tr>
        <w:tc>
          <w:tcPr>
            <w:tcW w:type="dxa" w:w="27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Frequency</w:t>
            </w:r>
          </w:p>
        </w:tc>
        <w:tc>
          <w:tcPr>
            <w:tcW w:type="dxa" w:w="666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Every 2 years</w:t>
            </w:r>
          </w:p>
        </w:tc>
      </w:tr>
      <w:tr>
        <w:tc>
          <w:tcPr>
            <w:tcW w:type="dxa" w:w="270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New non-supervisory hires</w:t>
            </w:r>
          </w:p>
        </w:tc>
        <w:tc>
          <w:tcPr>
            <w:tcW w:type="dxa" w:w="666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Within </w:t>
            </w:r>
            <w:r>
              <w:rPr>
                <w:rFonts w:ascii="Calibri" w:cs="Calibri" w:eastAsia="Calibri" w:hAnsi="Calibri"/>
                <w:b/>
                <w:bCs/>
                <w:color w:val="20242C"/>
                <w:sz w:val="19"/>
                <w:szCs w:val="19"/>
              </w:rPr>
              <w:t xml:space="preserve">6 months of hire</w:t>
            </w:r>
          </w:p>
        </w:tc>
      </w:tr>
      <w:tr>
        <w:tc>
          <w:tcPr>
            <w:tcW w:type="dxa" w:w="27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New or promoted supervisors</w:t>
            </w:r>
          </w:p>
        </w:tc>
        <w:tc>
          <w:tcPr>
            <w:tcW w:type="dxa" w:w="666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Within </w:t>
            </w:r>
            <w:r>
              <w:rPr>
                <w:rFonts w:ascii="Calibri" w:cs="Calibri" w:eastAsia="Calibri" w:hAnsi="Calibri"/>
                <w:b/>
                <w:bCs/>
                <w:color w:val="20242C"/>
                <w:sz w:val="19"/>
                <w:szCs w:val="19"/>
              </w:rPr>
              <w:t xml:space="preserve">6 months of assuming the position</w:t>
            </w:r>
          </w:p>
        </w:tc>
      </w:tr>
      <w:tr>
        <w:tc>
          <w:tcPr>
            <w:tcW w:type="dxa" w:w="270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Short-term hires (under 6 months)</w:t>
            </w:r>
          </w:p>
        </w:tc>
        <w:tc>
          <w:tcPr>
            <w:tcW w:type="dxa" w:w="666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Within </w:t>
            </w:r>
            <w:r>
              <w:rPr>
                <w:rFonts w:ascii="Calibri" w:cs="Calibri" w:eastAsia="Calibri" w:hAnsi="Calibri"/>
                <w:b/>
                <w:bCs/>
                <w:color w:val="20242C"/>
                <w:sz w:val="19"/>
                <w:szCs w:val="19"/>
              </w:rPr>
              <w:t xml:space="preserve">30 calendar days or 100 hours worked, whichever comes first.</w:t>
            </w:r>
            <w:r>
              <w:rPr>
                <w:rFonts w:ascii="Calibri" w:cs="Calibri" w:eastAsia="Calibri" w:hAnsi="Calibri"/>
                <w:color w:val="20242C"/>
                <w:sz w:val="19"/>
                <w:szCs w:val="19"/>
              </w:rPr>
              <w:t xml:space="preserve"> Not required if they work fewer than 30 days AND fewer than 100 hours.</w:t>
            </w:r>
          </w:p>
        </w:tc>
      </w:tr>
      <w:tr>
        <w:tc>
          <w:tcPr>
            <w:tcW w:type="dxa" w:w="27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Format</w:t>
            </w:r>
          </w:p>
        </w:tc>
        <w:tc>
          <w:tcPr>
            <w:tcW w:type="dxa" w:w="666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"Effective interactive training" — classroom, live webinar, or individualized e-learning. </w:t>
            </w:r>
            <w:r>
              <w:rPr>
                <w:rFonts w:ascii="Calibri" w:cs="Calibri" w:eastAsia="Calibri" w:hAnsi="Calibri"/>
                <w:b/>
                <w:bCs/>
                <w:color w:val="20242C"/>
                <w:sz w:val="19"/>
                <w:szCs w:val="19"/>
              </w:rPr>
              <w:t xml:space="preserve">Text-only reading does not satisfy it.</w:t>
            </w:r>
          </w:p>
        </w:tc>
      </w:tr>
      <w:tr>
        <w:tc>
          <w:tcPr>
            <w:tcW w:type="dxa" w:w="270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Who pays</w:t>
            </w:r>
          </w:p>
        </w:tc>
        <w:tc>
          <w:tcPr>
            <w:tcW w:type="dxa" w:w="666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The employer. On </w:t>
            </w:r>
            <w:r>
              <w:rPr>
                <w:rFonts w:ascii="Calibri" w:cs="Calibri" w:eastAsia="Calibri" w:hAnsi="Calibri"/>
                <w:b/>
                <w:bCs/>
                <w:color w:val="20242C"/>
                <w:sz w:val="19"/>
                <w:szCs w:val="19"/>
              </w:rPr>
              <w:t xml:space="preserve">paid work time</w:t>
            </w:r>
            <w:r>
              <w:rPr>
                <w:rFonts w:ascii="Calibri" w:cs="Calibri" w:eastAsia="Calibri" w:hAnsi="Calibri"/>
                <w:color w:val="20242C"/>
                <w:sz w:val="19"/>
                <w:szCs w:val="19"/>
              </w:rPr>
              <w:t xml:space="preserve">; employees cannot be required to use personal time.</w:t>
            </w:r>
          </w:p>
        </w:tc>
      </w:tr>
      <w:tr>
        <w:tc>
          <w:tcPr>
            <w:tcW w:type="dxa" w:w="27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Content</w:t>
            </w:r>
          </w:p>
        </w:tc>
        <w:tc>
          <w:tcPr>
            <w:tcW w:type="dxa" w:w="666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Sexual harassment and abusive conduct prevention, including harassment based on gender identity, gender expression, and sexual orientation.</w:t>
            </w:r>
          </w:p>
        </w:tc>
      </w:tr>
    </w:tbl>
    <w:p>
      <w:pPr>
        <w:pStyle w:val="Heading2"/>
        <w:spacing w:after="100" w:before="240"/>
      </w:pPr>
      <w:r>
        <w:rPr>
          <w:rFonts w:ascii="Calibri" w:cs="Calibri" w:eastAsia="Calibri" w:hAnsi="Calibri"/>
          <w:b/>
          <w:bCs/>
          <w:color w:val="14685E"/>
          <w:sz w:val="22"/>
          <w:szCs w:val="22"/>
        </w:rPr>
        <w:t xml:space="preserve">2.2 Who counts as a supervisor</w:t>
      </w:r>
    </w:p>
    <w:p>
      <w:pPr>
        <w:spacing w:after="120" w:line="276"/>
      </w:pPr>
      <w:r>
        <w:rPr>
          <w:rFonts w:ascii="Calibri" w:cs="Calibri" w:eastAsia="Calibri" w:hAnsi="Calibri"/>
          <w:color w:val="20242C"/>
          <w:sz w:val="21"/>
          <w:szCs w:val="21"/>
        </w:rPr>
        <w:t xml:space="preserve">The most common compliance failure, and it always fails the same direction — someone who supervises gets the 1-hour course, and we are out of compliance without knowing it.</w:t>
      </w:r>
    </w:p>
    <w:p>
      <w:pPr>
        <w:spacing w:after="120" w:line="276"/>
      </w:pPr>
      <w:r>
        <w:rPr>
          <w:rFonts w:ascii="Calibri" w:cs="Calibri" w:eastAsia="Calibri" w:hAnsi="Calibri"/>
          <w:color w:val="20242C"/>
          <w:sz w:val="21"/>
          <w:szCs w:val="21"/>
        </w:rPr>
        <w:t xml:space="preserve">A supervisor is anyone with authority to hire, transfer, suspend, lay off, recall, promote, discharge, assign, reward, or discipline other employees, </w:t>
      </w:r>
      <w:r>
        <w:rPr>
          <w:rFonts w:ascii="Calibri" w:cs="Calibri" w:eastAsia="Calibri" w:hAnsi="Calibri"/>
          <w:b/>
          <w:bCs/>
          <w:color w:val="20242C"/>
          <w:sz w:val="21"/>
          <w:szCs w:val="21"/>
        </w:rPr>
        <w:t xml:space="preserve">or to direct their work</w:t>
      </w:r>
      <w:r>
        <w:rPr>
          <w:rFonts w:ascii="Calibri" w:cs="Calibri" w:eastAsia="Calibri" w:hAnsi="Calibri"/>
          <w:color w:val="20242C"/>
          <w:sz w:val="21"/>
          <w:szCs w:val="21"/>
        </w:rPr>
        <w:t xml:space="preserve"> — or to effectively recommend any of those. Title is irrelevant.</w:t>
      </w:r>
    </w:p>
    <w:p>
      <w:pPr>
        <w:spacing w:after="120" w:line="276"/>
      </w:pPr>
      <w:r>
        <w:rPr>
          <w:rFonts w:ascii="Calibri" w:cs="Calibri" w:eastAsia="Calibri" w:hAnsi="Calibri"/>
          <w:color w:val="20242C"/>
          <w:sz w:val="21"/>
          <w:szCs w:val="21"/>
        </w:rPr>
        <w:t xml:space="preserve">At PRG: owners, managers, and assistant managers all supervise. So does anyone directing runners, techs, or engineers. </w:t>
      </w:r>
      <w:r>
        <w:rPr>
          <w:rFonts w:ascii="Calibri" w:cs="Calibri" w:eastAsia="Calibri" w:hAnsi="Calibri"/>
          <w:b/>
          <w:bCs/>
          <w:color w:val="20242C"/>
          <w:sz w:val="21"/>
          <w:szCs w:val="21"/>
        </w:rPr>
        <w:t xml:space="preserve">Unclear? Mark them supervisory.</w:t>
      </w:r>
      <w:r>
        <w:rPr>
          <w:rFonts w:ascii="Calibri" w:cs="Calibri" w:eastAsia="Calibri" w:hAnsi="Calibri"/>
          <w:color w:val="20242C"/>
          <w:sz w:val="21"/>
          <w:szCs w:val="21"/>
        </w:rPr>
        <w:t xml:space="preserve"> The extra hour costs nothing.</w:t>
      </w:r>
    </w:p>
    <w:p>
      <w:pPr>
        <w:spacing w:after="120" w:line="276"/>
      </w:pPr>
      <w:r>
        <w:rPr>
          <w:rFonts w:ascii="Calibri" w:cs="Calibri" w:eastAsia="Calibri" w:hAnsi="Calibri"/>
          <w:color w:val="20242C"/>
          <w:sz w:val="21"/>
          <w:szCs w:val="21"/>
        </w:rPr>
        <w:t xml:space="preserve">ADP sets a </w:t>
      </w:r>
      <w:r>
        <w:rPr>
          <w:rFonts w:ascii="Calibri" w:cs="Calibri" w:eastAsia="Calibri" w:hAnsi="Calibri"/>
          <w:b/>
          <w:bCs/>
          <w:color w:val="20242C"/>
          <w:sz w:val="21"/>
          <w:szCs w:val="21"/>
        </w:rPr>
        <w:t xml:space="preserve">Manager classification</w:t>
      </w:r>
      <w:r>
        <w:rPr>
          <w:rFonts w:ascii="Calibri" w:cs="Calibri" w:eastAsia="Calibri" w:hAnsi="Calibri"/>
          <w:color w:val="20242C"/>
          <w:sz w:val="21"/>
          <w:szCs w:val="21"/>
        </w:rPr>
        <w:t xml:space="preserve"> when an employee record is created, and that is a reasonable starting point for the roster. Treat it as a first pass rather than the answer — it was set to describe reporting structure in ADP, not to determine training obligations, and the legal definition is broader than most org charts.</w:t>
      </w:r>
    </w:p>
    <w:p>
      <w:pPr>
        <w:pStyle w:val="Heading2"/>
        <w:spacing w:after="100" w:before="240"/>
      </w:pPr>
      <w:r>
        <w:rPr>
          <w:rFonts w:ascii="Calibri" w:cs="Calibri" w:eastAsia="Calibri" w:hAnsi="Calibri"/>
          <w:b/>
          <w:bCs/>
          <w:color w:val="14685E"/>
          <w:sz w:val="22"/>
          <w:szCs w:val="22"/>
        </w:rPr>
        <w:t xml:space="preserve">2.3 CRD free courses vs. a paid vendor</w:t>
      </w:r>
    </w:p>
    <w:tbl>
      <w:tblPr>
        <w:tblW w:type="dxa" w:w="9360"/>
        <w:tblBorders>
          <w:top w:val="single" w:color="B9C1CC" w:sz="2"/>
          <w:left w:val="single" w:color="B9C1CC" w:sz="2"/>
          <w:bottom w:val="single" w:color="B9C1CC" w:sz="2"/>
          <w:right w:val="single" w:color="B9C1CC" w:sz="2"/>
          <w:insideH w:val="single" w:color="D8DEE6" w:sz="2"/>
          <w:insideV w:val="single" w:color="D8DEE6" w:sz="2"/>
        </w:tblBorders>
      </w:tblPr>
      <w:tblGrid>
        <w:gridCol w:w="1400"/>
        <w:gridCol w:w="4200"/>
        <w:gridCol w:w="3760"/>
      </w:tblGrid>
      <w:tr>
        <w:trPr>
          <w:tblHeader/>
        </w:trPr>
        <w:tc>
          <w:tcPr>
            <w:tcW w:type="dxa" w:w="1400"/>
            <w:shd w:fill="1F3352"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
            </w:r>
          </w:p>
        </w:tc>
        <w:tc>
          <w:tcPr>
            <w:tcW w:type="dxa" w:w="4200"/>
            <w:shd w:fill="1F3352"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CRD free courses</w:t>
            </w:r>
          </w:p>
        </w:tc>
        <w:tc>
          <w:tcPr>
            <w:tcW w:type="dxa" w:w="3760"/>
            <w:shd w:fill="1F3352"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Paid vendor</w:t>
            </w:r>
          </w:p>
        </w:tc>
      </w:tr>
      <w:tr>
        <w:tc>
          <w:tcPr>
            <w:tcW w:type="dxa" w:w="14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Cost</w:t>
            </w:r>
          </w:p>
        </w:tc>
        <w:tc>
          <w:tcPr>
            <w:tcW w:type="dxa" w:w="42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$0</w:t>
            </w:r>
          </w:p>
        </w:tc>
        <w:tc>
          <w:tcPr>
            <w:tcW w:type="dxa" w:w="376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~$20–40 per person</w:t>
            </w:r>
          </w:p>
        </w:tc>
      </w:tr>
      <w:tr>
        <w:tc>
          <w:tcPr>
            <w:tcW w:type="dxa" w:w="140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Compliance</w:t>
            </w:r>
          </w:p>
        </w:tc>
        <w:tc>
          <w:tcPr>
            <w:tcW w:type="dxa" w:w="420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Confirmed compliant by CRD itself</w:t>
            </w:r>
          </w:p>
        </w:tc>
        <w:tc>
          <w:tcPr>
            <w:tcW w:type="dxa" w:w="376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Ours to verify — CRD does not approve or recommend providers</w:t>
            </w:r>
          </w:p>
        </w:tc>
      </w:tr>
      <w:tr>
        <w:tc>
          <w:tcPr>
            <w:tcW w:type="dxa" w:w="14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Languages</w:t>
            </w:r>
          </w:p>
        </w:tc>
        <w:tc>
          <w:tcPr>
            <w:tcW w:type="dxa" w:w="42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English, Spanish, Chinese, Korean, Tagalog, Vietnamese</w:t>
            </w:r>
          </w:p>
        </w:tc>
        <w:tc>
          <w:tcPr>
            <w:tcW w:type="dxa" w:w="376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Varies</w:t>
            </w:r>
          </w:p>
        </w:tc>
      </w:tr>
      <w:tr>
        <w:tc>
          <w:tcPr>
            <w:tcW w:type="dxa" w:w="140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Tracking</w:t>
            </w:r>
          </w:p>
        </w:tc>
        <w:tc>
          <w:tcPr>
            <w:tcW w:type="dxa" w:w="420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Manual — Fernando chases and files</w:t>
            </w:r>
          </w:p>
        </w:tc>
        <w:tc>
          <w:tcPr>
            <w:tcW w:type="dxa" w:w="376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Assignment, reminders, certificate storage, dashboard</w:t>
            </w:r>
          </w:p>
        </w:tc>
      </w:tr>
      <w:tr>
        <w:tc>
          <w:tcPr>
            <w:tcW w:type="dxa" w:w="14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Certificates</w:t>
            </w:r>
          </w:p>
        </w:tc>
        <w:tc>
          <w:tcPr>
            <w:tcW w:type="dxa" w:w="4200"/>
            <w:shd w:fill="FFFFFF" w:val="clear"/>
            <w:tcMar>
              <w:top w:type="dxa" w:w="70"/>
              <w:left w:type="dxa" w:w="100"/>
              <w:bottom w:type="dxa" w:w="70"/>
              <w:right w:type="dxa" w:w="100"/>
            </w:tcMar>
          </w:tcPr>
          <w:p>
            <w:pPr>
              <w:spacing w:after="0" w:line="258"/>
            </w:pPr>
            <w:r>
              <w:rPr>
                <w:rFonts w:ascii="Calibri" w:cs="Calibri" w:eastAsia="Calibri" w:hAnsi="Calibri"/>
                <w:b/>
                <w:bCs/>
                <w:color w:val="20242C"/>
                <w:sz w:val="19"/>
                <w:szCs w:val="19"/>
              </w:rPr>
              <w:t xml:space="preserve">CRD does not store or reissue them.</w:t>
            </w:r>
            <w:r>
              <w:rPr>
                <w:rFonts w:ascii="Calibri" w:cs="Calibri" w:eastAsia="Calibri" w:hAnsi="Calibri"/>
                <w:color w:val="20242C"/>
                <w:sz w:val="19"/>
                <w:szCs w:val="19"/>
              </w:rPr>
              <w:t xml:space="preserve"> Close the browser without saving = retake the course.</w:t>
            </w:r>
          </w:p>
        </w:tc>
        <w:tc>
          <w:tcPr>
            <w:tcW w:type="dxa" w:w="376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Stored by the vendor</w:t>
            </w:r>
          </w:p>
        </w:tc>
      </w:tr>
      <w:tr>
        <w:tc>
          <w:tcPr>
            <w:tcW w:type="dxa" w:w="140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Group viewing</w:t>
            </w:r>
          </w:p>
        </w:tc>
        <w:tc>
          <w:tcPr>
            <w:tcW w:type="dxa" w:w="4200"/>
            <w:shd w:fill="F6F8FA" w:val="clear"/>
            <w:tcMar>
              <w:top w:type="dxa" w:w="70"/>
              <w:left w:type="dxa" w:w="100"/>
              <w:bottom w:type="dxa" w:w="70"/>
              <w:right w:type="dxa" w:w="100"/>
            </w:tcMar>
          </w:tcPr>
          <w:p>
            <w:pPr>
              <w:spacing w:after="0" w:line="258"/>
            </w:pPr>
            <w:r>
              <w:rPr>
                <w:rFonts w:ascii="Calibri" w:cs="Calibri" w:eastAsia="Calibri" w:hAnsi="Calibri"/>
                <w:b/>
                <w:bCs/>
                <w:color w:val="20242C"/>
                <w:sz w:val="19"/>
                <w:szCs w:val="19"/>
              </w:rPr>
              <w:t xml:space="preserve">Not possible</w:t>
            </w:r>
            <w:r>
              <w:rPr>
                <w:rFonts w:ascii="Calibri" w:cs="Calibri" w:eastAsia="Calibri" w:hAnsi="Calibri"/>
                <w:color w:val="20242C"/>
                <w:sz w:val="19"/>
                <w:szCs w:val="19"/>
              </w:rPr>
              <w:t xml:space="preserve"> — e-learning is individualized</w:t>
            </w:r>
          </w:p>
        </w:tc>
        <w:tc>
          <w:tcPr>
            <w:tcW w:type="dxa" w:w="376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Some offer live sessions</w:t>
            </w:r>
          </w:p>
        </w:tc>
      </w:tr>
      <w:tr>
        <w:tc>
          <w:tcPr>
            <w:tcW w:type="dxa" w:w="14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Bundling</w:t>
            </w:r>
          </w:p>
        </w:tc>
        <w:tc>
          <w:tcPr>
            <w:tcW w:type="dxa" w:w="42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Harassment only</w:t>
            </w:r>
          </w:p>
        </w:tc>
        <w:tc>
          <w:tcPr>
            <w:tcW w:type="dxa" w:w="376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Often bundles workplace violence and bystander training</w:t>
            </w:r>
          </w:p>
        </w:tc>
      </w:tr>
    </w:tbl>
    <w:p>
      <w:pPr>
        <w:spacing w:after="110"/>
      </w:pPr>
    </w:p>
    <w:p>
      <w:pPr>
        <w:spacing w:after="120" w:line="276"/>
      </w:pPr>
      <w:r>
        <w:rPr>
          <w:rFonts w:ascii="Calibri" w:cs="Calibri" w:eastAsia="Calibri" w:hAnsi="Calibri"/>
          <w:b/>
          <w:bCs/>
          <w:color w:val="20242C"/>
          <w:sz w:val="21"/>
          <w:szCs w:val="21"/>
        </w:rPr>
        <w:t xml:space="preserve">Recommendation for this cycle: CRD free courses</w:t>
      </w:r>
      <w:r>
        <w:rPr>
          <w:rFonts w:ascii="Calibri" w:cs="Calibri" w:eastAsia="Calibri" w:hAnsi="Calibri"/>
          <w:color w:val="20242C"/>
          <w:sz w:val="21"/>
          <w:szCs w:val="21"/>
        </w:rPr>
        <w:t xml:space="preserve"> (calcivilrights.ca.gov/shpt). At 15 people the chasing is a couple of hours of Fernando's time, and PRSFlo will absorb the filing. Revisit a vendor for the 2029 cycle — note that a vendor bundling WPV training too may tip the math.</w:t>
      </w:r>
    </w:p>
    <w:p>
      <w:pPr>
        <w:pStyle w:val="Heading2"/>
        <w:spacing w:after="100" w:before="240"/>
      </w:pPr>
      <w:r>
        <w:rPr>
          <w:rFonts w:ascii="Calibri" w:cs="Calibri" w:eastAsia="Calibri" w:hAnsi="Calibri"/>
          <w:b/>
          <w:bCs/>
          <w:color w:val="14685E"/>
          <w:sz w:val="22"/>
          <w:szCs w:val="22"/>
        </w:rPr>
        <w:t xml:space="preserve">2.4 Trained by a prior employer</w:t>
      </w:r>
    </w:p>
    <w:p>
      <w:pPr>
        <w:spacing w:after="120" w:line="276"/>
      </w:pPr>
      <w:r>
        <w:rPr>
          <w:rFonts w:ascii="Calibri" w:cs="Calibri" w:eastAsia="Calibri" w:hAnsi="Calibri"/>
          <w:color w:val="20242C"/>
          <w:sz w:val="21"/>
          <w:szCs w:val="21"/>
        </w:rPr>
        <w:t xml:space="preserve">An employee trained in compliance with § 12950.1 within the prior two years does not need retraining. But we must </w:t>
      </w:r>
      <w:r>
        <w:rPr>
          <w:rFonts w:ascii="Calibri" w:cs="Calibri" w:eastAsia="Calibri" w:hAnsi="Calibri"/>
          <w:b/>
          <w:bCs/>
          <w:color w:val="20242C"/>
          <w:sz w:val="21"/>
          <w:szCs w:val="21"/>
        </w:rPr>
        <w:t xml:space="preserve">verify the prior training was legally compliant</w:t>
      </w:r>
      <w:r>
        <w:rPr>
          <w:rFonts w:ascii="Calibri" w:cs="Calibri" w:eastAsia="Calibri" w:hAnsi="Calibri"/>
          <w:color w:val="20242C"/>
          <w:sz w:val="21"/>
          <w:szCs w:val="21"/>
        </w:rPr>
        <w:t xml:space="preserve">, they must read and acknowledge PRG's anti-harassment policy within 6 months, and they go on a 2-year clock </w:t>
      </w:r>
      <w:r>
        <w:rPr>
          <w:rFonts w:ascii="Calibri" w:cs="Calibri" w:eastAsia="Calibri" w:hAnsi="Calibri"/>
          <w:b/>
          <w:bCs/>
          <w:color w:val="20242C"/>
          <w:sz w:val="21"/>
          <w:szCs w:val="21"/>
        </w:rPr>
        <w:t xml:space="preserve">from their prior training date</w:t>
      </w:r>
      <w:r>
        <w:rPr>
          <w:rFonts w:ascii="Calibri" w:cs="Calibri" w:eastAsia="Calibri" w:hAnsi="Calibri"/>
          <w:color w:val="20242C"/>
          <w:sz w:val="21"/>
          <w:szCs w:val="21"/>
        </w:rPr>
        <w:t xml:space="preserve">.</w:t>
      </w:r>
    </w:p>
    <w:p>
      <w:pPr>
        <w:pStyle w:val="Heading1"/>
        <w:pBdr>
          <w:bottom w:val="single" w:color="14685E" w:sz="8" w:space="6"/>
        </w:pBdr>
        <w:spacing w:after="150" w:before="300"/>
      </w:pPr>
      <w:r>
        <w:rPr>
          <w:rFonts w:ascii="Calibri" w:cs="Calibri" w:eastAsia="Calibri" w:hAnsi="Calibri"/>
          <w:b/>
          <w:bCs/>
          <w:color w:val="1F3352"/>
          <w:sz w:val="27"/>
          <w:szCs w:val="27"/>
        </w:rPr>
        <w:t xml:space="preserve">3. Workplace violence — the newer, heavier one</w:t>
      </w:r>
    </w:p>
    <w:p>
      <w:pPr>
        <w:spacing w:after="120" w:line="276"/>
      </w:pPr>
      <w:r>
        <w:rPr>
          <w:rFonts w:ascii="Calibri" w:cs="Calibri" w:eastAsia="Calibri" w:hAnsi="Calibri"/>
          <w:color w:val="20242C"/>
          <w:sz w:val="21"/>
          <w:szCs w:val="21"/>
        </w:rPr>
        <w:t xml:space="preserve">SB 553 added Labor Code § 6401.9, enforceable since July 1, 2024. It is enforced by Cal/OSHA, not CRD, and it is a bigger obligation than the harassment rule because it requires an ongoing written program, not just periodic training.</w:t>
      </w:r>
    </w:p>
    <w:p>
      <w:pPr>
        <w:spacing w:after="40"/>
      </w:pPr>
    </w:p>
    <w:tbl>
      <w:tblPr>
        <w:tblW w:type="dxa" w:w="9360"/>
        <w:tblBorders>
          <w:top w:val="single" w:color="14685E" w:sz="4"/>
          <w:left w:val="single" w:color="14685E" w:sz="22"/>
          <w:bottom w:val="single" w:color="14685E" w:sz="4"/>
          <w:right w:val="single" w:color="14685E" w:sz="4"/>
          <w:insideH w:val="none"/>
          <w:insideV w:val="none"/>
        </w:tblBorders>
      </w:tblPr>
      <w:tblGrid>
        <w:gridCol w:w="9360"/>
      </w:tblGrid>
      <w:tr>
        <w:tc>
          <w:tcPr>
            <w:tcW w:type="dxa" w:w="9360"/>
            <w:shd w:fill="E8F3F0" w:val="clear"/>
            <w:tcMar>
              <w:top w:type="dxa" w:w="130"/>
              <w:left w:type="dxa" w:w="170"/>
              <w:bottom w:type="dxa" w:w="130"/>
              <w:right w:type="dxa" w:w="170"/>
            </w:tcMar>
          </w:tcPr>
          <w:p>
            <w:pPr>
              <w:spacing w:after="80"/>
            </w:pPr>
            <w:r>
              <w:rPr>
                <w:rFonts w:ascii="Calibri" w:cs="Calibri" w:eastAsia="Calibri" w:hAnsi="Calibri"/>
                <w:b/>
                <w:bCs/>
                <w:color w:val="1F3352"/>
                <w:sz w:val="21"/>
                <w:szCs w:val="21"/>
              </w:rPr>
              <w:t xml:space="preserve">First question: are our studios covered?</w:t>
            </w:r>
          </w:p>
          <w:p>
            <w:pPr>
              <w:spacing w:after="70" w:line="264"/>
            </w:pPr>
            <w:r>
              <w:rPr>
                <w:rFonts w:ascii="Calibri" w:cs="Calibri" w:eastAsia="Calibri" w:hAnsi="Calibri"/>
                <w:color w:val="20242C"/>
                <w:sz w:val="20"/>
                <w:szCs w:val="20"/>
              </w:rPr>
              <w:t xml:space="preserve">The law applies to nearly all California employers. The relevant exemption is </w:t>
            </w:r>
            <w:r>
              <w:rPr>
                <w:rFonts w:ascii="Calibri" w:cs="Calibri" w:eastAsia="Calibri" w:hAnsi="Calibri"/>
                <w:b/>
                <w:bCs/>
                <w:color w:val="20242C"/>
                <w:sz w:val="20"/>
                <w:szCs w:val="20"/>
              </w:rPr>
              <w:t xml:space="preserve">fewer than 10 employees at a location that is not accessible to the public.</w:t>
            </w:r>
          </w:p>
          <w:p>
            <w:pPr>
              <w:spacing w:after="70" w:line="264"/>
            </w:pPr>
          </w:p>
          <w:p>
            <w:pPr>
              <w:spacing w:after="70" w:line="264"/>
            </w:pPr>
            <w:r>
              <w:rPr>
                <w:rFonts w:ascii="Calibri" w:cs="Calibri" w:eastAsia="Calibri" w:hAnsi="Calibri"/>
                <w:color w:val="20242C"/>
                <w:sz w:val="20"/>
                <w:szCs w:val="20"/>
              </w:rPr>
              <w:t xml:space="preserve">Our studios have clients, artists, and their guests coming through them. That very likely makes each location "accessible to the public," which means the under-10 exemption does </w:t>
            </w:r>
            <w:r>
              <w:rPr>
                <w:rFonts w:ascii="Calibri" w:cs="Calibri" w:eastAsia="Calibri" w:hAnsi="Calibri"/>
                <w:b/>
                <w:bCs/>
                <w:color w:val="20242C"/>
                <w:sz w:val="20"/>
                <w:szCs w:val="20"/>
              </w:rPr>
              <w:t xml:space="preserve">not</w:t>
            </w:r>
            <w:r>
              <w:rPr>
                <w:rFonts w:ascii="Calibri" w:cs="Calibri" w:eastAsia="Calibri" w:hAnsi="Calibri"/>
                <w:color w:val="20242C"/>
                <w:sz w:val="20"/>
                <w:szCs w:val="20"/>
              </w:rPr>
              <w:t xml:space="preserve"> apply even though headcount per studio is small.</w:t>
            </w:r>
          </w:p>
          <w:p>
            <w:pPr>
              <w:spacing w:after="70" w:line="264"/>
            </w:pPr>
          </w:p>
          <w:p>
            <w:pPr>
              <w:spacing w:after="0" w:line="264"/>
            </w:pPr>
            <w:r>
              <w:rPr>
                <w:rFonts w:ascii="Calibri" w:cs="Calibri" w:eastAsia="Calibri" w:hAnsi="Calibri"/>
                <w:b/>
                <w:bCs/>
                <w:color w:val="20242C"/>
                <w:sz w:val="20"/>
                <w:szCs w:val="20"/>
              </w:rPr>
              <w:t xml:space="preserve">Confirm this with counsel before assuming either way.</w:t>
            </w:r>
            <w:r>
              <w:rPr>
                <w:rFonts w:ascii="Calibri" w:cs="Calibri" w:eastAsia="Calibri" w:hAnsi="Calibri"/>
                <w:color w:val="20242C"/>
                <w:sz w:val="20"/>
                <w:szCs w:val="20"/>
              </w:rPr>
              <w:t xml:space="preserve"> If we are covered — and we probably are — everything in §3.1 applies to all four locations.</w:t>
            </w:r>
          </w:p>
        </w:tc>
      </w:tr>
    </w:tbl>
    <w:p>
      <w:pPr>
        <w:pStyle w:val="Heading2"/>
        <w:spacing w:after="100" w:before="240"/>
      </w:pPr>
      <w:r>
        <w:rPr>
          <w:rFonts w:ascii="Calibri" w:cs="Calibri" w:eastAsia="Calibri" w:hAnsi="Calibri"/>
          <w:b/>
          <w:bCs/>
          <w:color w:val="14685E"/>
          <w:sz w:val="22"/>
          <w:szCs w:val="22"/>
        </w:rPr>
        <w:t xml:space="preserve">3.1 What compliance actually requires</w:t>
      </w:r>
    </w:p>
    <w:p>
      <w:pPr>
        <w:pStyle w:val="ListParagraph"/>
        <w:numPr>
          <w:ilvl w:val="0"/>
          <w:numId w:val="2"/>
        </w:numPr>
        <w:spacing w:after="60" w:line="264"/>
      </w:pPr>
      <w:r>
        <w:rPr>
          <w:rFonts w:ascii="Calibri" w:cs="Calibri" w:eastAsia="Calibri" w:hAnsi="Calibri"/>
          <w:b/>
          <w:bCs/>
          <w:color w:val="20242C"/>
          <w:sz w:val="21"/>
          <w:szCs w:val="21"/>
        </w:rPr>
        <w:t xml:space="preserve">A written Workplace Violence Prevention Plan.</w:t>
      </w:r>
      <w:r>
        <w:rPr>
          <w:rFonts w:ascii="Calibri" w:cs="Calibri" w:eastAsia="Calibri" w:hAnsi="Calibri"/>
          <w:color w:val="20242C"/>
          <w:sz w:val="21"/>
          <w:szCs w:val="21"/>
        </w:rPr>
        <w:t xml:space="preserve"> Can be standalone or part of the IIPP. Must be developed </w:t>
      </w:r>
      <w:r>
        <w:rPr>
          <w:rFonts w:ascii="Calibri" w:cs="Calibri" w:eastAsia="Calibri" w:hAnsi="Calibri"/>
          <w:b/>
          <w:bCs/>
          <w:color w:val="20242C"/>
          <w:sz w:val="21"/>
          <w:szCs w:val="21"/>
        </w:rPr>
        <w:t xml:space="preserve">with employee involvement</w:t>
      </w:r>
      <w:r>
        <w:rPr>
          <w:rFonts w:ascii="Calibri" w:cs="Calibri" w:eastAsia="Calibri" w:hAnsi="Calibri"/>
          <w:color w:val="20242C"/>
          <w:sz w:val="21"/>
          <w:szCs w:val="21"/>
        </w:rPr>
        <w:t xml:space="preserve">, and reviewed </w:t>
      </w:r>
      <w:r>
        <w:rPr>
          <w:rFonts w:ascii="Calibri" w:cs="Calibri" w:eastAsia="Calibri" w:hAnsi="Calibri"/>
          <w:b/>
          <w:bCs/>
          <w:color w:val="20242C"/>
          <w:sz w:val="21"/>
          <w:szCs w:val="21"/>
        </w:rPr>
        <w:t xml:space="preserve">at least annually</w:t>
      </w:r>
      <w:r>
        <w:rPr>
          <w:rFonts w:ascii="Calibri" w:cs="Calibri" w:eastAsia="Calibri" w:hAnsi="Calibri"/>
          <w:color w:val="20242C"/>
          <w:sz w:val="21"/>
          <w:szCs w:val="21"/>
        </w:rPr>
        <w:t xml:space="preserve"> for effectiveness.</w:t>
      </w:r>
    </w:p>
    <w:p>
      <w:pPr>
        <w:pStyle w:val="ListParagraph"/>
        <w:numPr>
          <w:ilvl w:val="0"/>
          <w:numId w:val="2"/>
        </w:numPr>
        <w:spacing w:after="60" w:line="264"/>
      </w:pPr>
      <w:r>
        <w:rPr>
          <w:rFonts w:ascii="Calibri" w:cs="Calibri" w:eastAsia="Calibri" w:hAnsi="Calibri"/>
          <w:b/>
          <w:bCs/>
          <w:color w:val="20242C"/>
          <w:sz w:val="21"/>
          <w:szCs w:val="21"/>
        </w:rPr>
        <w:t xml:space="preserve">A violent incident log.</w:t>
      </w:r>
      <w:r>
        <w:rPr>
          <w:rFonts w:ascii="Calibri" w:cs="Calibri" w:eastAsia="Calibri" w:hAnsi="Calibri"/>
          <w:color w:val="20242C"/>
          <w:sz w:val="21"/>
          <w:szCs w:val="21"/>
        </w:rPr>
        <w:t xml:space="preserve"> Every workplace violence incident recorded — date, time, location, type of violence, consequences, and the circumstances.</w:t>
      </w:r>
    </w:p>
    <w:p>
      <w:pPr>
        <w:pStyle w:val="ListParagraph"/>
        <w:numPr>
          <w:ilvl w:val="0"/>
          <w:numId w:val="2"/>
        </w:numPr>
        <w:spacing w:after="60" w:line="264"/>
      </w:pPr>
      <w:r>
        <w:rPr>
          <w:rFonts w:ascii="Calibri" w:cs="Calibri" w:eastAsia="Calibri" w:hAnsi="Calibri"/>
          <w:b/>
          <w:bCs/>
          <w:color w:val="20242C"/>
          <w:sz w:val="21"/>
          <w:szCs w:val="21"/>
        </w:rPr>
        <w:t xml:space="preserve">Training at hire and at least annually.</w:t>
      </w:r>
      <w:r>
        <w:rPr>
          <w:rFonts w:ascii="Calibri" w:cs="Calibri" w:eastAsia="Calibri" w:hAnsi="Calibri"/>
          <w:color w:val="20242C"/>
          <w:sz w:val="21"/>
          <w:szCs w:val="21"/>
        </w:rPr>
        <w:t xml:space="preserve"> Must cover the plan itself (including any changes from the annual review), how to report incidents and hazards, and hazards specific to the employee's job. Material must match the employee's educational level and language, and allow interactive questions with someone knowledgeable about the plan.</w:t>
      </w:r>
    </w:p>
    <w:p>
      <w:pPr>
        <w:pStyle w:val="ListParagraph"/>
        <w:numPr>
          <w:ilvl w:val="0"/>
          <w:numId w:val="2"/>
        </w:numPr>
        <w:spacing w:after="60" w:line="264"/>
      </w:pPr>
      <w:r>
        <w:rPr>
          <w:rFonts w:ascii="Calibri" w:cs="Calibri" w:eastAsia="Calibri" w:hAnsi="Calibri"/>
          <w:b/>
          <w:bCs/>
          <w:color w:val="20242C"/>
          <w:sz w:val="21"/>
          <w:szCs w:val="21"/>
        </w:rPr>
        <w:t xml:space="preserve">Hazard identification, evaluation, and correction records.</w:t>
      </w:r>
    </w:p>
    <w:p>
      <w:pPr>
        <w:pStyle w:val="ListParagraph"/>
        <w:numPr>
          <w:ilvl w:val="0"/>
          <w:numId w:val="2"/>
        </w:numPr>
        <w:spacing w:after="60" w:line="264"/>
      </w:pPr>
      <w:r>
        <w:rPr>
          <w:rFonts w:ascii="Calibri" w:cs="Calibri" w:eastAsia="Calibri" w:hAnsi="Calibri"/>
          <w:b/>
          <w:bCs/>
          <w:color w:val="20242C"/>
          <w:sz w:val="21"/>
          <w:szCs w:val="21"/>
        </w:rPr>
        <w:t xml:space="preserve">Incident investigation records.</w:t>
      </w:r>
    </w:p>
    <w:p>
      <w:pPr>
        <w:spacing w:after="60"/>
      </w:pPr>
    </w:p>
    <w:p>
      <w:pPr>
        <w:spacing w:after="120" w:line="276"/>
      </w:pPr>
      <w:r>
        <w:rPr>
          <w:rFonts w:ascii="Calibri" w:cs="Calibri" w:eastAsia="Calibri" w:hAnsi="Calibri"/>
          <w:color w:val="20242C"/>
          <w:sz w:val="21"/>
          <w:szCs w:val="21"/>
        </w:rPr>
        <w:t xml:space="preserve">All of these must be made available to employees, their representatives, and Cal/OSHA — </w:t>
      </w:r>
      <w:r>
        <w:rPr>
          <w:rFonts w:ascii="Calibri" w:cs="Calibri" w:eastAsia="Calibri" w:hAnsi="Calibri"/>
          <w:b/>
          <w:bCs/>
          <w:color w:val="20242C"/>
          <w:sz w:val="21"/>
          <w:szCs w:val="21"/>
        </w:rPr>
        <w:t xml:space="preserve">free, within 15 calendar days of a request.</w:t>
      </w:r>
    </w:p>
    <w:p>
      <w:pPr>
        <w:pStyle w:val="Heading2"/>
        <w:spacing w:after="100" w:before="240"/>
      </w:pPr>
      <w:r>
        <w:rPr>
          <w:rFonts w:ascii="Calibri" w:cs="Calibri" w:eastAsia="Calibri" w:hAnsi="Calibri"/>
          <w:b/>
          <w:bCs/>
          <w:color w:val="14685E"/>
          <w:sz w:val="22"/>
          <w:szCs w:val="22"/>
        </w:rPr>
        <w:t xml:space="preserve">3.2 What PRG has today</w:t>
      </w:r>
    </w:p>
    <w:p>
      <w:pPr>
        <w:spacing w:after="120" w:line="276"/>
      </w:pPr>
      <w:r>
        <w:rPr>
          <w:rFonts w:ascii="Calibri" w:cs="Calibri" w:eastAsia="Calibri" w:hAnsi="Calibri"/>
          <w:color w:val="20242C"/>
          <w:sz w:val="21"/>
          <w:szCs w:val="21"/>
        </w:rPr>
        <w:t xml:space="preserve">A written plan exists — </w:t>
      </w:r>
      <w:r>
        <w:rPr>
          <w:rFonts w:ascii="Calibri" w:cs="Calibri" w:eastAsia="Calibri" w:hAnsi="Calibri"/>
          <w:b/>
          <w:bCs/>
          <w:color w:val="20242C"/>
          <w:sz w:val="21"/>
          <w:szCs w:val="21"/>
        </w:rPr>
        <w:t xml:space="preserve">WVPP Definitions and Procedures (2024)</w:t>
      </w:r>
      <w:r>
        <w:rPr>
          <w:rFonts w:ascii="Calibri" w:cs="Calibri" w:eastAsia="Calibri" w:hAnsi="Calibri"/>
          <w:color w:val="20242C"/>
          <w:sz w:val="21"/>
          <w:szCs w:val="21"/>
        </w:rPr>
        <w:t xml:space="preserve">, with the Active Shooter section of the employee handbook and the Cal/OSHA employee fact sheet alongside it. Between them they cover the statutory definitions, reporting channels and non-retaliation, response to robbery and criminal acts, reporting suspicious persons, and active shooter response. Eli is named as WVPP administrator.</w:t>
      </w:r>
    </w:p>
    <w:p>
      <w:pPr>
        <w:spacing w:after="120" w:line="276"/>
      </w:pPr>
      <w:r>
        <w:rPr>
          <w:rFonts w:ascii="Calibri" w:cs="Calibri" w:eastAsia="Calibri" w:hAnsi="Calibri"/>
          <w:color w:val="20242C"/>
          <w:sz w:val="21"/>
          <w:szCs w:val="21"/>
        </w:rPr>
        <w:t xml:space="preserve">Several elements listed separately in § 6401.9(c) are not visible in those three documents: hazard identification and periodic inspection procedures, hazard correction, post-incident response and investigation, the annual review procedure, employee-involvement procedures, and training procedures. There is also no violent incident log on file. Some of these may live elsewhere in the handbook.</w:t>
      </w:r>
    </w:p>
    <w:p>
      <w:pPr>
        <w:spacing w:after="120" w:line="276"/>
      </w:pPr>
      <w:r>
        <w:rPr>
          <w:rFonts w:ascii="Calibri" w:cs="Calibri" w:eastAsia="Calibri" w:hAnsi="Calibri"/>
          <w:b/>
          <w:bCs/>
          <w:color w:val="20242C"/>
          <w:sz w:val="21"/>
          <w:szCs w:val="21"/>
        </w:rPr>
        <w:t xml:space="preserve">The violent incident log does not exist and the annual training is not set up in ADP.</w:t>
      </w:r>
      <w:r>
        <w:rPr>
          <w:rFonts w:ascii="Calibri" w:cs="Calibri" w:eastAsia="Calibri" w:hAnsi="Calibri"/>
          <w:color w:val="20242C"/>
          <w:sz w:val="21"/>
          <w:szCs w:val="21"/>
        </w:rPr>
        <w:t xml:space="preserve"> Both confirmed as gaps in review. They need building, not locating.</w:t>
      </w:r>
    </w:p>
    <w:p>
      <w:pPr>
        <w:spacing w:after="120" w:line="276"/>
      </w:pPr>
      <w:r>
        <w:rPr>
          <w:rFonts w:ascii="Calibri" w:cs="Calibri" w:eastAsia="Calibri" w:hAnsi="Calibri"/>
          <w:b/>
          <w:bCs/>
          <w:color w:val="20242C"/>
          <w:sz w:val="21"/>
          <w:szCs w:val="21"/>
        </w:rPr>
        <w:t xml:space="preserve">Eli owns the workplace violence plan.</w:t>
      </w:r>
      <w:r>
        <w:rPr>
          <w:rFonts w:ascii="Calibri" w:cs="Calibri" w:eastAsia="Calibri" w:hAnsi="Calibri"/>
          <w:color w:val="20242C"/>
          <w:sz w:val="21"/>
          <w:szCs w:val="21"/>
        </w:rPr>
        <w:t xml:space="preserve"> Closing those gaps is tracked separately from this document set.</w:t>
      </w:r>
    </w:p>
    <w:p>
      <w:pPr>
        <w:pStyle w:val="Heading2"/>
        <w:spacing w:after="100" w:before="240"/>
      </w:pPr>
      <w:r>
        <w:rPr>
          <w:rFonts w:ascii="Calibri" w:cs="Calibri" w:eastAsia="Calibri" w:hAnsi="Calibri"/>
          <w:b/>
          <w:bCs/>
          <w:color w:val="14685E"/>
          <w:sz w:val="22"/>
          <w:szCs w:val="22"/>
        </w:rPr>
        <w:t xml:space="preserve">3.3 Retention</w:t>
      </w:r>
    </w:p>
    <w:tbl>
      <w:tblPr>
        <w:tblW w:type="dxa" w:w="9360"/>
        <w:tblBorders>
          <w:top w:val="single" w:color="B9C1CC" w:sz="2"/>
          <w:left w:val="single" w:color="B9C1CC" w:sz="2"/>
          <w:bottom w:val="single" w:color="B9C1CC" w:sz="2"/>
          <w:right w:val="single" w:color="B9C1CC" w:sz="2"/>
          <w:insideH w:val="single" w:color="D8DEE6" w:sz="2"/>
          <w:insideV w:val="single" w:color="D8DEE6" w:sz="2"/>
        </w:tblBorders>
      </w:tblPr>
      <w:tblGrid>
        <w:gridCol w:w="3400"/>
        <w:gridCol w:w="5960"/>
      </w:tblGrid>
      <w:tr>
        <w:trPr>
          <w:tblHeader/>
        </w:trPr>
        <w:tc>
          <w:tcPr>
            <w:tcW w:type="dxa" w:w="3400"/>
            <w:shd w:fill="1F3352"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Record</w:t>
            </w:r>
          </w:p>
        </w:tc>
        <w:tc>
          <w:tcPr>
            <w:tcW w:type="dxa" w:w="5960"/>
            <w:shd w:fill="1F3352"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Minimum</w:t>
            </w:r>
          </w:p>
        </w:tc>
      </w:tr>
      <w:tr>
        <w:tc>
          <w:tcPr>
            <w:tcW w:type="dxa" w:w="34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WPV training records</w:t>
            </w:r>
          </w:p>
        </w:tc>
        <w:tc>
          <w:tcPr>
            <w:tcW w:type="dxa" w:w="5960"/>
            <w:shd w:fill="FFFFFF" w:val="clear"/>
            <w:tcMar>
              <w:top w:type="dxa" w:w="70"/>
              <w:left w:type="dxa" w:w="100"/>
              <w:bottom w:type="dxa" w:w="70"/>
              <w:right w:type="dxa" w:w="100"/>
            </w:tcMar>
          </w:tcPr>
          <w:p>
            <w:pPr>
              <w:spacing w:after="0" w:line="258"/>
            </w:pPr>
            <w:r>
              <w:rPr>
                <w:rFonts w:ascii="Calibri" w:cs="Calibri" w:eastAsia="Calibri" w:hAnsi="Calibri"/>
                <w:b/>
                <w:bCs/>
                <w:color w:val="20242C"/>
                <w:sz w:val="19"/>
                <w:szCs w:val="19"/>
              </w:rPr>
              <w:t xml:space="preserve">1 year</w:t>
            </w:r>
            <w:r>
              <w:rPr>
                <w:rFonts w:ascii="Calibri" w:cs="Calibri" w:eastAsia="Calibri" w:hAnsi="Calibri"/>
                <w:color w:val="20242C"/>
                <w:sz w:val="19"/>
                <w:szCs w:val="19"/>
              </w:rPr>
              <w:t xml:space="preserve"> — dates, content summary, trainer name and qualifications, attendee names and job titles</w:t>
            </w:r>
          </w:p>
        </w:tc>
      </w:tr>
      <w:tr>
        <w:tc>
          <w:tcPr>
            <w:tcW w:type="dxa" w:w="340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Violent incident log</w:t>
            </w:r>
          </w:p>
        </w:tc>
        <w:tc>
          <w:tcPr>
            <w:tcW w:type="dxa" w:w="5960"/>
            <w:shd w:fill="F6F8FA" w:val="clear"/>
            <w:tcMar>
              <w:top w:type="dxa" w:w="70"/>
              <w:left w:type="dxa" w:w="100"/>
              <w:bottom w:type="dxa" w:w="70"/>
              <w:right w:type="dxa" w:w="100"/>
            </w:tcMar>
          </w:tcPr>
          <w:p>
            <w:pPr>
              <w:spacing w:after="0" w:line="258"/>
            </w:pPr>
            <w:r>
              <w:rPr>
                <w:rFonts w:ascii="Calibri" w:cs="Calibri" w:eastAsia="Calibri" w:hAnsi="Calibri"/>
                <w:b/>
                <w:bCs/>
                <w:color w:val="20242C"/>
                <w:sz w:val="19"/>
                <w:szCs w:val="19"/>
              </w:rPr>
              <w:t xml:space="preserve">5 years</w:t>
            </w:r>
          </w:p>
        </w:tc>
      </w:tr>
      <w:tr>
        <w:tc>
          <w:tcPr>
            <w:tcW w:type="dxa" w:w="34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Hazard identification, evaluation, correction</w:t>
            </w:r>
          </w:p>
        </w:tc>
        <w:tc>
          <w:tcPr>
            <w:tcW w:type="dxa" w:w="5960"/>
            <w:shd w:fill="FFFFFF" w:val="clear"/>
            <w:tcMar>
              <w:top w:type="dxa" w:w="70"/>
              <w:left w:type="dxa" w:w="100"/>
              <w:bottom w:type="dxa" w:w="70"/>
              <w:right w:type="dxa" w:w="100"/>
            </w:tcMar>
          </w:tcPr>
          <w:p>
            <w:pPr>
              <w:spacing w:after="0" w:line="258"/>
            </w:pPr>
            <w:r>
              <w:rPr>
                <w:rFonts w:ascii="Calibri" w:cs="Calibri" w:eastAsia="Calibri" w:hAnsi="Calibri"/>
                <w:b/>
                <w:bCs/>
                <w:color w:val="20242C"/>
                <w:sz w:val="19"/>
                <w:szCs w:val="19"/>
              </w:rPr>
              <w:t xml:space="preserve">5 years</w:t>
            </w:r>
          </w:p>
        </w:tc>
      </w:tr>
      <w:tr>
        <w:tc>
          <w:tcPr>
            <w:tcW w:type="dxa" w:w="340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Incident investigations</w:t>
            </w:r>
          </w:p>
        </w:tc>
        <w:tc>
          <w:tcPr>
            <w:tcW w:type="dxa" w:w="5960"/>
            <w:shd w:fill="F6F8FA" w:val="clear"/>
            <w:tcMar>
              <w:top w:type="dxa" w:w="70"/>
              <w:left w:type="dxa" w:w="100"/>
              <w:bottom w:type="dxa" w:w="70"/>
              <w:right w:type="dxa" w:w="100"/>
            </w:tcMar>
          </w:tcPr>
          <w:p>
            <w:pPr>
              <w:spacing w:after="0" w:line="258"/>
            </w:pPr>
            <w:r>
              <w:rPr>
                <w:rFonts w:ascii="Calibri" w:cs="Calibri" w:eastAsia="Calibri" w:hAnsi="Calibri"/>
                <w:b/>
                <w:bCs/>
                <w:color w:val="20242C"/>
                <w:sz w:val="19"/>
                <w:szCs w:val="19"/>
              </w:rPr>
              <w:t xml:space="preserve">5 years</w:t>
            </w:r>
          </w:p>
        </w:tc>
      </w:tr>
    </w:tbl>
    <w:p>
      <w:pPr>
        <w:spacing w:after="110"/>
      </w:pPr>
    </w:p>
    <w:p>
      <w:pPr>
        <w:spacing w:after="120" w:line="276"/>
      </w:pPr>
      <w:r>
        <w:rPr>
          <w:rFonts w:ascii="Calibri" w:cs="Calibri" w:eastAsia="Calibri" w:hAnsi="Calibri"/>
          <w:color w:val="20242C"/>
          <w:sz w:val="21"/>
          <w:szCs w:val="21"/>
        </w:rPr>
        <w:t xml:space="preserve">PRG keeps WPV training records for 4 years rather than 1, to match personnel file retention. Two different clocks on records living in the same file is how records get destroyed early by accident.</w:t>
      </w:r>
    </w:p>
    <w:p>
      <w:pPr>
        <w:pStyle w:val="Heading2"/>
        <w:spacing w:after="100" w:before="240"/>
      </w:pPr>
      <w:r>
        <w:rPr>
          <w:rFonts w:ascii="Calibri" w:cs="Calibri" w:eastAsia="Calibri" w:hAnsi="Calibri"/>
          <w:b/>
          <w:bCs/>
          <w:color w:val="14685E"/>
          <w:sz w:val="22"/>
          <w:szCs w:val="22"/>
        </w:rPr>
        <w:t xml:space="preserve">3.4 The standards are still moving</w:t>
      </w:r>
    </w:p>
    <w:p>
      <w:pPr>
        <w:spacing w:after="120" w:line="276"/>
      </w:pPr>
      <w:r>
        <w:rPr>
          <w:rFonts w:ascii="Calibri" w:cs="Calibri" w:eastAsia="Calibri" w:hAnsi="Calibri"/>
          <w:color w:val="20242C"/>
          <w:sz w:val="21"/>
          <w:szCs w:val="21"/>
        </w:rPr>
        <w:t xml:space="preserve">Cal/OSHA was tasked with proposing formal workplace violence standards by December 31, 2025, with the Standards Board adopting them by </w:t>
      </w:r>
      <w:r>
        <w:rPr>
          <w:rFonts w:ascii="Calibri" w:cs="Calibri" w:eastAsia="Calibri" w:hAnsi="Calibri"/>
          <w:b/>
          <w:bCs/>
          <w:color w:val="20242C"/>
          <w:sz w:val="21"/>
          <w:szCs w:val="21"/>
        </w:rPr>
        <w:t xml:space="preserve">December 31, 2026</w:t>
      </w:r>
      <w:r>
        <w:rPr>
          <w:rFonts w:ascii="Calibri" w:cs="Calibri" w:eastAsia="Calibri" w:hAnsi="Calibri"/>
          <w:color w:val="20242C"/>
          <w:sz w:val="21"/>
          <w:szCs w:val="21"/>
        </w:rPr>
        <w:t xml:space="preserve">. Until those land, enforcement is directly against the Labor Code text.</w:t>
      </w:r>
    </w:p>
    <w:p>
      <w:pPr>
        <w:spacing w:after="120" w:line="276"/>
      </w:pPr>
      <w:r>
        <w:rPr>
          <w:rFonts w:ascii="Calibri" w:cs="Calibri" w:eastAsia="Calibri" w:hAnsi="Calibri"/>
          <w:b/>
          <w:bCs/>
          <w:color w:val="20242C"/>
          <w:sz w:val="21"/>
          <w:szCs w:val="21"/>
        </w:rPr>
        <w:t xml:space="preserve">Practical implication:</w:t>
      </w:r>
      <w:r>
        <w:rPr>
          <w:rFonts w:ascii="Calibri" w:cs="Calibri" w:eastAsia="Calibri" w:hAnsi="Calibri"/>
          <w:color w:val="20242C"/>
          <w:sz w:val="21"/>
          <w:szCs w:val="21"/>
        </w:rPr>
        <w:t xml:space="preserve"> whatever plan we write now should be reviewed again in early 2027 against the adopted standards. Build it, but do not treat it as final.</w:t>
      </w:r>
    </w:p>
    <w:p>
      <w:pPr>
        <w:pStyle w:val="Heading1"/>
        <w:pBdr>
          <w:bottom w:val="single" w:color="14685E" w:sz="8" w:space="6"/>
        </w:pBdr>
        <w:spacing w:after="150" w:before="300"/>
      </w:pPr>
      <w:r>
        <w:rPr>
          <w:rFonts w:ascii="Calibri" w:cs="Calibri" w:eastAsia="Calibri" w:hAnsi="Calibri"/>
          <w:b/>
          <w:bCs/>
          <w:color w:val="1F3352"/>
          <w:sz w:val="27"/>
          <w:szCs w:val="27"/>
        </w:rPr>
        <w:t xml:space="preserve">4. Also required alongside</w:t>
      </w:r>
    </w:p>
    <w:tbl>
      <w:tblPr>
        <w:tblW w:type="dxa" w:w="9360"/>
        <w:tblBorders>
          <w:top w:val="single" w:color="B9C1CC" w:sz="2"/>
          <w:left w:val="single" w:color="B9C1CC" w:sz="2"/>
          <w:bottom w:val="single" w:color="B9C1CC" w:sz="2"/>
          <w:right w:val="single" w:color="B9C1CC" w:sz="2"/>
          <w:insideH w:val="single" w:color="D8DEE6" w:sz="2"/>
          <w:insideV w:val="single" w:color="D8DEE6" w:sz="2"/>
        </w:tblBorders>
      </w:tblPr>
      <w:tblGrid>
        <w:gridCol w:w="2700"/>
        <w:gridCol w:w="6660"/>
      </w:tblGrid>
      <w:tr>
        <w:trPr>
          <w:tblHeader/>
        </w:trPr>
        <w:tc>
          <w:tcPr>
            <w:tcW w:type="dxa" w:w="2700"/>
            <w:shd w:fill="1F3352"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Item</w:t>
            </w:r>
          </w:p>
        </w:tc>
        <w:tc>
          <w:tcPr>
            <w:tcW w:type="dxa" w:w="6660"/>
            <w:shd w:fill="1F3352"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Requirement</w:t>
            </w:r>
          </w:p>
        </w:tc>
      </w:tr>
      <w:tr>
        <w:tc>
          <w:tcPr>
            <w:tcW w:type="dxa" w:w="27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CRD poster or fact sheet</w:t>
            </w:r>
          </w:p>
        </w:tc>
        <w:tc>
          <w:tcPr>
            <w:tcW w:type="dxa" w:w="666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Provided to all employees (Gov. Code 12950.1). Post at each studio; include in the onboarding packet.</w:t>
            </w:r>
          </w:p>
        </w:tc>
      </w:tr>
      <w:tr>
        <w:tc>
          <w:tcPr>
            <w:tcW w:type="dxa" w:w="270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Written harassment prevention policy</w:t>
            </w:r>
          </w:p>
        </w:tc>
        <w:tc>
          <w:tcPr>
            <w:tcW w:type="dxa" w:w="666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Developed, distributed, and acknowledged (2 CCR 11023(b)). </w:t>
            </w:r>
            <w:r>
              <w:rPr>
                <w:rFonts w:ascii="Calibri" w:cs="Calibri" w:eastAsia="Calibri" w:hAnsi="Calibri"/>
                <w:b/>
                <w:bCs/>
                <w:color w:val="20242C"/>
                <w:sz w:val="19"/>
                <w:szCs w:val="19"/>
              </w:rPr>
              <w:t xml:space="preserve">A document, not a training</w:t>
            </w:r>
            <w:r>
              <w:rPr>
                <w:rFonts w:ascii="Calibri" w:cs="Calibri" w:eastAsia="Calibri" w:hAnsi="Calibri"/>
                <w:color w:val="20242C"/>
                <w:sz w:val="19"/>
                <w:szCs w:val="19"/>
              </w:rPr>
              <w:t xml:space="preserve"> — confirm we have one.</w:t>
            </w:r>
          </w:p>
        </w:tc>
      </w:tr>
      <w:tr>
        <w:tc>
          <w:tcPr>
            <w:tcW w:type="dxa" w:w="27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Bystander intervention training</w:t>
            </w:r>
          </w:p>
        </w:tc>
        <w:tc>
          <w:tcPr>
            <w:tcW w:type="dxa" w:w="666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Not required, but expressly encouraged by CRD. Worth adding — in a studio with clients, freelancers, and long overnight sessions, bystander skills are more useful than the compliance minimum, and they overlap with the WPV reporting culture we need anyway.</w:t>
            </w:r>
          </w:p>
        </w:tc>
      </w:tr>
      <w:tr>
        <w:tc>
          <w:tcPr>
            <w:tcW w:type="dxa" w:w="270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IIPP</w:t>
            </w:r>
          </w:p>
        </w:tc>
        <w:tc>
          <w:tcPr>
            <w:tcW w:type="dxa" w:w="666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Separate Cal/OSHA requirement. The WPV plan can live inside it.</w:t>
            </w:r>
          </w:p>
        </w:tc>
      </w:tr>
    </w:tbl>
    <w:p>
      <w:pPr>
        <w:pStyle w:val="Heading1"/>
        <w:pBdr>
          <w:bottom w:val="single" w:color="14685E" w:sz="8" w:space="6"/>
        </w:pBdr>
        <w:spacing w:after="150" w:before="300"/>
      </w:pPr>
      <w:r>
        <w:rPr>
          <w:rFonts w:ascii="Calibri" w:cs="Calibri" w:eastAsia="Calibri" w:hAnsi="Calibri"/>
          <w:b/>
          <w:bCs/>
          <w:color w:val="1F3352"/>
          <w:sz w:val="27"/>
          <w:szCs w:val="27"/>
        </w:rPr>
        <w:t xml:space="preserve">5. How this is tracked</w:t>
      </w:r>
    </w:p>
    <w:p>
      <w:pPr>
        <w:spacing w:after="120" w:line="276"/>
      </w:pPr>
      <w:r>
        <w:rPr>
          <w:rFonts w:ascii="Calibri" w:cs="Calibri" w:eastAsia="Calibri" w:hAnsi="Calibri"/>
          <w:color w:val="20242C"/>
          <w:sz w:val="21"/>
          <w:szCs w:val="21"/>
        </w:rPr>
        <w:t xml:space="preserve">Both mandates come down to one question — who is due, and when — and that is unanswerable without a maintained roster. The failure mode is never a refusal to train; it is losing track of a due date.</w:t>
      </w:r>
    </w:p>
    <w:p>
      <w:pPr>
        <w:spacing w:after="120" w:line="276"/>
      </w:pPr>
      <w:r>
        <w:rPr>
          <w:rFonts w:ascii="Calibri" w:cs="Calibri" w:eastAsia="Calibri" w:hAnsi="Calibri"/>
          <w:color w:val="20242C"/>
          <w:sz w:val="21"/>
          <w:szCs w:val="21"/>
        </w:rPr>
        <w:t xml:space="preserve">The tracker lives in PRSFlo: one row per employee, classification, hire date, last completion and next due for each of the two trainings, certificate attached to the row. Due dates calculate from the interval rules and anything inside 90 days flags. A row with no certificate reads as </w:t>
      </w:r>
      <w:r>
        <w:rPr>
          <w:rFonts w:ascii="Calibri" w:cs="Calibri" w:eastAsia="Calibri" w:hAnsi="Calibri"/>
          <w:b/>
          <w:bCs/>
          <w:color w:val="20242C"/>
          <w:sz w:val="21"/>
          <w:szCs w:val="21"/>
        </w:rPr>
        <w:t xml:space="preserve">overdue rather than blank</w:t>
      </w:r>
      <w:r>
        <w:rPr>
          <w:rFonts w:ascii="Calibri" w:cs="Calibri" w:eastAsia="Calibri" w:hAnsi="Calibri"/>
          <w:color w:val="20242C"/>
          <w:sz w:val="21"/>
          <w:szCs w:val="21"/>
        </w:rPr>
        <w:t xml:space="preserve">, because training we cannot evidence is training we cannot demonstrate.</w:t>
      </w:r>
    </w:p>
    <w:p>
      <w:pPr>
        <w:spacing w:after="120" w:line="276"/>
      </w:pPr>
      <w:r>
        <w:rPr>
          <w:rFonts w:ascii="Calibri" w:cs="Calibri" w:eastAsia="Calibri" w:hAnsi="Calibri"/>
          <w:color w:val="20242C"/>
          <w:sz w:val="21"/>
          <w:szCs w:val="21"/>
        </w:rPr>
        <w:t xml:space="preserve">The workplace violence plan, the violent incident log, and the annual plan review sit alongside it.</w:t>
      </w:r>
    </w:p>
    <w:p>
      <w:pPr>
        <w:spacing w:after="120" w:line="276"/>
      </w:pPr>
      <w:r>
        <w:rPr>
          <w:rFonts w:ascii="Calibri" w:cs="Calibri" w:eastAsia="Calibri" w:hAnsi="Calibri"/>
          <w:b/>
          <w:bCs/>
          <w:color w:val="20242C"/>
          <w:sz w:val="21"/>
          <w:szCs w:val="21"/>
        </w:rPr>
        <w:t xml:space="preserve">Until it ships, the same columns run in a shared spreadsheet</w:t>
      </w:r>
      <w:r>
        <w:rPr>
          <w:rFonts w:ascii="Calibri" w:cs="Calibri" w:eastAsia="Calibri" w:hAnsi="Calibri"/>
          <w:color w:val="20242C"/>
          <w:sz w:val="21"/>
          <w:szCs w:val="21"/>
        </w:rPr>
        <w:t xml:space="preserve"> with certificates in a drive folder. The structure is deliberately identical so it imports rather than gets re-keyed. The January 1, 2027 deadline can be met entirely this way — the tracker is a convenience, not a prerequisite.</w:t>
      </w:r>
    </w:p>
    <w:p>
      <w:pPr>
        <w:spacing w:after="50"/>
      </w:pPr>
    </w:p>
    <w:p>
      <w:pPr>
        <w:spacing w:after="120" w:line="276"/>
      </w:pPr>
      <w:r>
        <w:rPr>
          <w:rFonts w:ascii="Calibri" w:cs="Calibri" w:eastAsia="Calibri" w:hAnsi="Calibri"/>
          <w:b/>
          <w:bCs/>
          <w:color w:val="20242C"/>
          <w:sz w:val="21"/>
          <w:szCs w:val="21"/>
        </w:rPr>
        <w:t xml:space="preserve">We are not using ADP to run this.</w:t>
      </w:r>
      <w:r>
        <w:rPr>
          <w:rFonts w:ascii="Calibri" w:cs="Calibri" w:eastAsia="Calibri" w:hAnsi="Calibri"/>
          <w:color w:val="20242C"/>
          <w:sz w:val="21"/>
          <w:szCs w:val="21"/>
        </w:rPr>
        <w:t xml:space="preserve"> ADP nominally supports training workflow, but in practice — as with the performance review process — it amounts to reminders wrapped in a convoluted flow, and it is built for a much larger audience than ours. There may be capability we are not using; the judgement is that finding out is not worth the time when the requirement is a fifteen-row list with two date columns.</w:t>
      </w:r>
    </w:p>
    <w:p>
      <w:pPr>
        <w:spacing w:after="120" w:line="276"/>
      </w:pPr>
      <w:r>
        <w:rPr>
          <w:rFonts w:ascii="Calibri" w:cs="Calibri" w:eastAsia="Calibri" w:hAnsi="Calibri"/>
          <w:color w:val="20242C"/>
          <w:sz w:val="21"/>
          <w:szCs w:val="21"/>
        </w:rPr>
        <w:t xml:space="preserve">That is the general principle for this area: </w:t>
      </w:r>
      <w:r>
        <w:rPr>
          <w:rFonts w:ascii="Calibri" w:cs="Calibri" w:eastAsia="Calibri" w:hAnsi="Calibri"/>
          <w:b/>
          <w:bCs/>
          <w:color w:val="20242C"/>
          <w:sz w:val="21"/>
          <w:szCs w:val="21"/>
        </w:rPr>
        <w:t xml:space="preserve">keep it as simple as the obligation allows.</w:t>
      </w:r>
      <w:r>
        <w:rPr>
          <w:rFonts w:ascii="Calibri" w:cs="Calibri" w:eastAsia="Calibri" w:hAnsi="Calibri"/>
          <w:color w:val="20242C"/>
          <w:sz w:val="21"/>
          <w:szCs w:val="21"/>
        </w:rPr>
        <w:t xml:space="preserve"> The compliance risk here is losing track of a due date, not lacking a sophisticated system.</w:t>
      </w:r>
    </w:p>
    <w:p>
      <w:pPr>
        <w:pStyle w:val="Heading1"/>
        <w:pBdr>
          <w:bottom w:val="single" w:color="14685E" w:sz="8" w:space="6"/>
        </w:pBdr>
        <w:spacing w:after="150" w:before="300"/>
      </w:pPr>
      <w:r>
        <w:rPr>
          <w:rFonts w:ascii="Calibri" w:cs="Calibri" w:eastAsia="Calibri" w:hAnsi="Calibri"/>
          <w:b/>
          <w:bCs/>
          <w:color w:val="1F3352"/>
          <w:sz w:val="27"/>
          <w:szCs w:val="27"/>
        </w:rPr>
        <w:t xml:space="preserve">6. Common failure modes</w:t>
      </w:r>
    </w:p>
    <w:p>
      <w:pPr>
        <w:pStyle w:val="ListParagraph"/>
        <w:numPr>
          <w:ilvl w:val="0"/>
          <w:numId w:val="2"/>
        </w:numPr>
        <w:spacing w:after="60" w:line="264"/>
      </w:pPr>
      <w:r>
        <w:rPr>
          <w:rFonts w:ascii="Calibri" w:cs="Calibri" w:eastAsia="Calibri" w:hAnsi="Calibri"/>
          <w:b/>
          <w:bCs/>
          <w:color w:val="20242C"/>
          <w:sz w:val="21"/>
          <w:szCs w:val="21"/>
        </w:rPr>
        <w:t xml:space="preserve">Treating a lead or assistant manager as non-supervisory.</w:t>
      </w:r>
      <w:r>
        <w:rPr>
          <w:rFonts w:ascii="Calibri" w:cs="Calibri" w:eastAsia="Calibri" w:hAnsi="Calibri"/>
          <w:color w:val="20242C"/>
          <w:sz w:val="21"/>
          <w:szCs w:val="21"/>
        </w:rPr>
        <w:t xml:space="preserve"> One hour instead of two.</w:t>
      </w:r>
    </w:p>
    <w:p>
      <w:pPr>
        <w:pStyle w:val="ListParagraph"/>
        <w:numPr>
          <w:ilvl w:val="0"/>
          <w:numId w:val="2"/>
        </w:numPr>
        <w:spacing w:after="60" w:line="264"/>
      </w:pPr>
      <w:r>
        <w:rPr>
          <w:rFonts w:ascii="Calibri" w:cs="Calibri" w:eastAsia="Calibri" w:hAnsi="Calibri"/>
          <w:b/>
          <w:bCs/>
          <w:color w:val="20242C"/>
          <w:sz w:val="21"/>
          <w:szCs w:val="21"/>
        </w:rPr>
        <w:t xml:space="preserve">Screening the harassment course for a group.</w:t>
      </w:r>
      <w:r>
        <w:rPr>
          <w:rFonts w:ascii="Calibri" w:cs="Calibri" w:eastAsia="Calibri" w:hAnsi="Calibri"/>
          <w:color w:val="20242C"/>
          <w:sz w:val="21"/>
          <w:szCs w:val="21"/>
        </w:rPr>
        <w:t xml:space="preserve"> E-learning cannot be completed as a group.</w:t>
      </w:r>
    </w:p>
    <w:p>
      <w:pPr>
        <w:pStyle w:val="ListParagraph"/>
        <w:numPr>
          <w:ilvl w:val="0"/>
          <w:numId w:val="2"/>
        </w:numPr>
        <w:spacing w:after="60" w:line="264"/>
      </w:pPr>
      <w:r>
        <w:rPr>
          <w:rFonts w:ascii="Calibri" w:cs="Calibri" w:eastAsia="Calibri" w:hAnsi="Calibri"/>
          <w:b/>
          <w:bCs/>
          <w:color w:val="20242C"/>
          <w:sz w:val="21"/>
          <w:szCs w:val="21"/>
        </w:rPr>
        <w:t xml:space="preserve">Handing out a PDF to read.</w:t>
      </w:r>
      <w:r>
        <w:rPr>
          <w:rFonts w:ascii="Calibri" w:cs="Calibri" w:eastAsia="Calibri" w:hAnsi="Calibri"/>
          <w:color w:val="20242C"/>
          <w:sz w:val="21"/>
          <w:szCs w:val="21"/>
        </w:rPr>
        <w:t xml:space="preserve"> Text-only does not satisfy it, however thorough.</w:t>
      </w:r>
    </w:p>
    <w:p>
      <w:pPr>
        <w:pStyle w:val="ListParagraph"/>
        <w:numPr>
          <w:ilvl w:val="0"/>
          <w:numId w:val="2"/>
        </w:numPr>
        <w:spacing w:after="60" w:line="264"/>
      </w:pPr>
      <w:r>
        <w:rPr>
          <w:rFonts w:ascii="Calibri" w:cs="Calibri" w:eastAsia="Calibri" w:hAnsi="Calibri"/>
          <w:b/>
          <w:bCs/>
          <w:color w:val="20242C"/>
          <w:sz w:val="21"/>
          <w:szCs w:val="21"/>
        </w:rPr>
        <w:t xml:space="preserve">Asking staff to do it at home.</w:t>
      </w:r>
      <w:r>
        <w:rPr>
          <w:rFonts w:ascii="Calibri" w:cs="Calibri" w:eastAsia="Calibri" w:hAnsi="Calibri"/>
          <w:color w:val="20242C"/>
          <w:sz w:val="21"/>
          <w:szCs w:val="21"/>
        </w:rPr>
        <w:t xml:space="preserve"> The employer must provide it, on paid time.</w:t>
      </w:r>
    </w:p>
    <w:p>
      <w:pPr>
        <w:pStyle w:val="ListParagraph"/>
        <w:numPr>
          <w:ilvl w:val="0"/>
          <w:numId w:val="2"/>
        </w:numPr>
        <w:spacing w:after="60" w:line="264"/>
      </w:pPr>
      <w:r>
        <w:rPr>
          <w:rFonts w:ascii="Calibri" w:cs="Calibri" w:eastAsia="Calibri" w:hAnsi="Calibri"/>
          <w:b/>
          <w:bCs/>
          <w:color w:val="20242C"/>
          <w:sz w:val="21"/>
          <w:szCs w:val="21"/>
        </w:rPr>
        <w:t xml:space="preserve">No certificate on file.</w:t>
      </w:r>
      <w:r>
        <w:rPr>
          <w:rFonts w:ascii="Calibri" w:cs="Calibri" w:eastAsia="Calibri" w:hAnsi="Calibri"/>
          <w:color w:val="20242C"/>
          <w:sz w:val="21"/>
          <w:szCs w:val="21"/>
        </w:rPr>
        <w:t xml:space="preserve"> Training that cannot be proven is legally indistinguishable from training that did not happen.</w:t>
      </w:r>
    </w:p>
    <w:p>
      <w:pPr>
        <w:pStyle w:val="ListParagraph"/>
        <w:numPr>
          <w:ilvl w:val="0"/>
          <w:numId w:val="2"/>
        </w:numPr>
        <w:spacing w:after="60" w:line="264"/>
      </w:pPr>
      <w:r>
        <w:rPr>
          <w:rFonts w:ascii="Calibri" w:cs="Calibri" w:eastAsia="Calibri" w:hAnsi="Calibri"/>
          <w:b/>
          <w:bCs/>
          <w:color w:val="20242C"/>
          <w:sz w:val="21"/>
          <w:szCs w:val="21"/>
        </w:rPr>
        <w:t xml:space="preserve">Forgetting the promotion trigger.</w:t>
      </w:r>
      <w:r>
        <w:rPr>
          <w:rFonts w:ascii="Calibri" w:cs="Calibri" w:eastAsia="Calibri" w:hAnsi="Calibri"/>
          <w:color w:val="20242C"/>
          <w:sz w:val="21"/>
          <w:szCs w:val="21"/>
        </w:rPr>
        <w:t xml:space="preserve"> Someone moves into a supervisory role and never gets the 2-hour course.</w:t>
      </w:r>
    </w:p>
    <w:p>
      <w:pPr>
        <w:pStyle w:val="ListParagraph"/>
        <w:numPr>
          <w:ilvl w:val="0"/>
          <w:numId w:val="2"/>
        </w:numPr>
        <w:spacing w:after="60" w:line="264"/>
      </w:pPr>
      <w:r>
        <w:rPr>
          <w:rFonts w:ascii="Calibri" w:cs="Calibri" w:eastAsia="Calibri" w:hAnsi="Calibri"/>
          <w:b/>
          <w:bCs/>
          <w:color w:val="20242C"/>
          <w:sz w:val="21"/>
          <w:szCs w:val="21"/>
        </w:rPr>
        <w:t xml:space="preserve">Running WPV on a 2-year cycle.</w:t>
      </w:r>
      <w:r>
        <w:rPr>
          <w:rFonts w:ascii="Calibri" w:cs="Calibri" w:eastAsia="Calibri" w:hAnsi="Calibri"/>
          <w:color w:val="20242C"/>
          <w:sz w:val="21"/>
          <w:szCs w:val="21"/>
        </w:rPr>
        <w:t xml:space="preserve"> It is annual. Different law, different regulator.</w:t>
      </w:r>
    </w:p>
    <w:p>
      <w:pPr>
        <w:pStyle w:val="ListParagraph"/>
        <w:numPr>
          <w:ilvl w:val="0"/>
          <w:numId w:val="2"/>
        </w:numPr>
        <w:spacing w:after="60" w:line="264"/>
      </w:pPr>
      <w:r>
        <w:rPr>
          <w:rFonts w:ascii="Calibri" w:cs="Calibri" w:eastAsia="Calibri" w:hAnsi="Calibri"/>
          <w:b/>
          <w:bCs/>
          <w:color w:val="20242C"/>
          <w:sz w:val="21"/>
          <w:szCs w:val="21"/>
        </w:rPr>
        <w:t xml:space="preserve">Having a WPV plan but no violent incident log.</w:t>
      </w:r>
      <w:r>
        <w:rPr>
          <w:rFonts w:ascii="Calibri" w:cs="Calibri" w:eastAsia="Calibri" w:hAnsi="Calibri"/>
          <w:color w:val="20242C"/>
          <w:sz w:val="21"/>
          <w:szCs w:val="21"/>
        </w:rPr>
        <w:t xml:space="preserve"> The log is a separate, explicit requirement — and it must exist even if it is empty.</w:t>
      </w:r>
    </w:p>
    <w:p>
      <w:pPr>
        <w:pStyle w:val="ListParagraph"/>
        <w:numPr>
          <w:ilvl w:val="0"/>
          <w:numId w:val="2"/>
        </w:numPr>
        <w:spacing w:after="60" w:line="264"/>
      </w:pPr>
      <w:r>
        <w:rPr>
          <w:rFonts w:ascii="Calibri" w:cs="Calibri" w:eastAsia="Calibri" w:hAnsi="Calibri"/>
          <w:b/>
          <w:bCs/>
          <w:color w:val="20242C"/>
          <w:sz w:val="21"/>
          <w:szCs w:val="21"/>
        </w:rPr>
        <w:t xml:space="preserve">Never doing the annual WPV plan review.</w:t>
      </w:r>
      <w:r>
        <w:rPr>
          <w:rFonts w:ascii="Calibri" w:cs="Calibri" w:eastAsia="Calibri" w:hAnsi="Calibri"/>
          <w:color w:val="20242C"/>
          <w:sz w:val="21"/>
          <w:szCs w:val="21"/>
        </w:rPr>
        <w:t xml:space="preserve"> It is required, and it must involve employees.</w:t>
      </w:r>
    </w:p>
    <w:p>
      <w:pPr>
        <w:pStyle w:val="ListParagraph"/>
        <w:numPr>
          <w:ilvl w:val="0"/>
          <w:numId w:val="2"/>
        </w:numPr>
        <w:spacing w:after="60" w:line="264"/>
      </w:pPr>
      <w:r>
        <w:rPr>
          <w:rFonts w:ascii="Calibri" w:cs="Calibri" w:eastAsia="Calibri" w:hAnsi="Calibri"/>
          <w:b/>
          <w:bCs/>
          <w:color w:val="20242C"/>
          <w:sz w:val="21"/>
          <w:szCs w:val="21"/>
        </w:rPr>
        <w:t xml:space="preserve">Sending content questions to CRD.</w:t>
      </w:r>
      <w:r>
        <w:rPr>
          <w:rFonts w:ascii="Calibri" w:cs="Calibri" w:eastAsia="Calibri" w:hAnsi="Calibri"/>
          <w:color w:val="20242C"/>
          <w:sz w:val="21"/>
          <w:szCs w:val="21"/>
        </w:rPr>
        <w:t xml:space="preserve"> They come to us. Fernando first; escalate to Eli or outside HR counsel.</w:t>
      </w:r>
    </w:p>
    <w:p>
      <w:pPr>
        <w:pStyle w:val="Heading1"/>
        <w:pBdr>
          <w:bottom w:val="single" w:color="14685E" w:sz="8" w:space="6"/>
        </w:pBdr>
        <w:spacing w:after="150" w:before="300"/>
      </w:pPr>
      <w:r>
        <w:rPr>
          <w:rFonts w:ascii="Calibri" w:cs="Calibri" w:eastAsia="Calibri" w:hAnsi="Calibri"/>
          <w:b/>
          <w:bCs/>
          <w:color w:val="1F3352"/>
          <w:sz w:val="27"/>
          <w:szCs w:val="27"/>
        </w:rPr>
        <w:t xml:space="preserve">7. Scope</w:t>
      </w:r>
    </w:p>
    <w:p>
      <w:pPr>
        <w:spacing w:after="120" w:line="276"/>
      </w:pPr>
      <w:r>
        <w:rPr>
          <w:rFonts w:ascii="Calibri" w:cs="Calibri" w:eastAsia="Calibri" w:hAnsi="Calibri"/>
          <w:color w:val="20242C"/>
          <w:sz w:val="21"/>
          <w:szCs w:val="21"/>
        </w:rPr>
        <w:t xml:space="preserve">Background, not legal advice. Reflects Gov. Code 12950.1, Labor Code 6401.9, and CRD and Cal/OSHA guidance current as of August 2026.</w:t>
      </w:r>
    </w:p>
    <w:p>
      <w:pPr>
        <w:spacing w:after="120" w:line="276"/>
      </w:pPr>
      <w:r>
        <w:rPr>
          <w:rFonts w:ascii="Calibri" w:cs="Calibri" w:eastAsia="Calibri" w:hAnsi="Calibri"/>
          <w:color w:val="20242C"/>
          <w:sz w:val="21"/>
          <w:szCs w:val="21"/>
        </w:rPr>
        <w:t xml:space="preserve">Two things need professional review before this goes live: </w:t>
      </w:r>
      <w:r>
        <w:rPr>
          <w:rFonts w:ascii="Calibri" w:cs="Calibri" w:eastAsia="Calibri" w:hAnsi="Calibri"/>
          <w:b/>
          <w:bCs/>
          <w:color w:val="20242C"/>
          <w:sz w:val="21"/>
          <w:szCs w:val="21"/>
        </w:rPr>
        <w:t xml:space="preserve">whether our studios fall under the WPV mandate</w:t>
      </w:r>
      <w:r>
        <w:rPr>
          <w:rFonts w:ascii="Calibri" w:cs="Calibri" w:eastAsia="Calibri" w:hAnsi="Calibri"/>
          <w:color w:val="20242C"/>
          <w:sz w:val="21"/>
          <w:szCs w:val="21"/>
        </w:rPr>
        <w:t xml:space="preserve"> (§3), and </w:t>
      </w:r>
      <w:r>
        <w:rPr>
          <w:rFonts w:ascii="Calibri" w:cs="Calibri" w:eastAsia="Calibri" w:hAnsi="Calibri"/>
          <w:b/>
          <w:bCs/>
          <w:color w:val="20242C"/>
          <w:sz w:val="21"/>
          <w:szCs w:val="21"/>
        </w:rPr>
        <w:t xml:space="preserve">the supervisor classifications</w:t>
      </w:r>
      <w:r>
        <w:rPr>
          <w:rFonts w:ascii="Calibri" w:cs="Calibri" w:eastAsia="Calibri" w:hAnsi="Calibri"/>
          <w:color w:val="20242C"/>
          <w:sz w:val="21"/>
          <w:szCs w:val="21"/>
        </w:rPr>
        <w:t xml:space="preserve"> (§2.2). Confirm the harassment deadline at calcivilrights.ca.gov before the cycle opens, and re-check the WPV plan against the adopted Cal/OSHA standards once they land.</w:t>
      </w:r>
    </w:p>
    <w:p>
      <w:pPr>
        <w:pStyle w:val="Heading1"/>
        <w:pBdr>
          <w:bottom w:val="single" w:color="14685E" w:sz="8" w:space="6"/>
        </w:pBdr>
        <w:spacing w:after="150" w:before="300"/>
      </w:pPr>
      <w:r>
        <w:rPr>
          <w:rFonts w:ascii="Calibri" w:cs="Calibri" w:eastAsia="Calibri" w:hAnsi="Calibri"/>
          <w:b/>
          <w:bCs/>
          <w:color w:val="1F3352"/>
          <w:sz w:val="27"/>
          <w:szCs w:val="27"/>
        </w:rPr>
        <w:t xml:space="preserve">8. Sources and related</w:t>
      </w:r>
    </w:p>
    <w:p>
      <w:pPr>
        <w:pStyle w:val="ListParagraph"/>
        <w:numPr>
          <w:ilvl w:val="0"/>
          <w:numId w:val="2"/>
        </w:numPr>
        <w:spacing w:after="60" w:line="264"/>
      </w:pPr>
      <w:r>
        <w:rPr>
          <w:rFonts w:ascii="Calibri" w:cs="Calibri" w:eastAsia="Calibri" w:hAnsi="Calibri"/>
          <w:color w:val="20242C"/>
          <w:sz w:val="21"/>
          <w:szCs w:val="21"/>
        </w:rPr>
        <w:t xml:space="preserve">California Government Code § 12950.1 · 2 CCR §§ 11023, 11024</w:t>
      </w:r>
    </w:p>
    <w:p>
      <w:pPr>
        <w:pStyle w:val="ListParagraph"/>
        <w:numPr>
          <w:ilvl w:val="0"/>
          <w:numId w:val="2"/>
        </w:numPr>
        <w:spacing w:after="60" w:line="264"/>
      </w:pPr>
      <w:r>
        <w:rPr>
          <w:rFonts w:ascii="Calibri" w:cs="Calibri" w:eastAsia="Calibri" w:hAnsi="Calibri"/>
          <w:color w:val="20242C"/>
          <w:sz w:val="21"/>
          <w:szCs w:val="21"/>
        </w:rPr>
        <w:t xml:space="preserve">California Labor Code §§ 6401.7, 6401.9 (SB 553)</w:t>
      </w:r>
    </w:p>
    <w:p>
      <w:pPr>
        <w:pStyle w:val="ListParagraph"/>
        <w:numPr>
          <w:ilvl w:val="0"/>
          <w:numId w:val="2"/>
        </w:numPr>
        <w:spacing w:after="60" w:line="264"/>
      </w:pPr>
      <w:r>
        <w:rPr>
          <w:rFonts w:ascii="Calibri" w:cs="Calibri" w:eastAsia="Calibri" w:hAnsi="Calibri"/>
          <w:color w:val="20242C"/>
          <w:sz w:val="21"/>
          <w:szCs w:val="21"/>
        </w:rPr>
        <w:t xml:space="preserve">CRD, "Sexual Harassment Prevention Training: Information For Employers" (October 2025)</w:t>
      </w:r>
    </w:p>
    <w:p>
      <w:pPr>
        <w:pStyle w:val="ListParagraph"/>
        <w:numPr>
          <w:ilvl w:val="0"/>
          <w:numId w:val="2"/>
        </w:numPr>
        <w:spacing w:after="60" w:line="264"/>
      </w:pPr>
      <w:r>
        <w:rPr>
          <w:rFonts w:ascii="Calibri" w:cs="Calibri" w:eastAsia="Calibri" w:hAnsi="Calibri"/>
          <w:color w:val="20242C"/>
          <w:sz w:val="21"/>
          <w:szCs w:val="21"/>
        </w:rPr>
        <w:t xml:space="preserve">Cal/OSHA, "Workplace Violence Prevention Laws in General Industry (Non-Health Care)"</w:t>
      </w:r>
    </w:p>
    <w:p>
      <w:pPr>
        <w:pStyle w:val="ListParagraph"/>
        <w:numPr>
          <w:ilvl w:val="0"/>
          <w:numId w:val="2"/>
        </w:numPr>
        <w:spacing w:after="60" w:line="264"/>
      </w:pPr>
      <w:r>
        <w:rPr>
          <w:rFonts w:ascii="Calibri" w:cs="Calibri" w:eastAsia="Calibri" w:hAnsi="Calibri"/>
          <w:color w:val="20242C"/>
          <w:sz w:val="21"/>
          <w:szCs w:val="21"/>
        </w:rPr>
        <w:t xml:space="preserve">calcivilrights.ca.gov/shpt · shpt@calcivilrights.ca.gov · dir.ca.gov/dosh/workplace-violence.html</w:t>
      </w:r>
    </w:p>
    <w:p>
      <w:pPr>
        <w:spacing w:after="50"/>
      </w:pPr>
    </w:p>
    <w:p>
      <w:pPr>
        <w:pStyle w:val="ListParagraph"/>
        <w:numPr>
          <w:ilvl w:val="0"/>
          <w:numId w:val="2"/>
        </w:numPr>
        <w:spacing w:after="60" w:line="264"/>
      </w:pPr>
      <w:r>
        <w:rPr>
          <w:rFonts w:ascii="Calibri" w:cs="Calibri" w:eastAsia="Calibri" w:hAnsi="Calibri"/>
          <w:b/>
          <w:bCs/>
          <w:color w:val="20242C"/>
          <w:sz w:val="21"/>
          <w:szCs w:val="21"/>
        </w:rPr>
        <w:t xml:space="preserve">PRG-P04</w:t>
      </w:r>
      <w:r>
        <w:rPr>
          <w:rFonts w:ascii="Calibri" w:cs="Calibri" w:eastAsia="Calibri" w:hAnsi="Calibri"/>
          <w:color w:val="20242C"/>
          <w:sz w:val="21"/>
          <w:szCs w:val="21"/>
        </w:rPr>
        <w:t xml:space="preserve"> — Required Training Records (the protocol and tracker)</w:t>
      </w:r>
    </w:p>
    <w:p>
      <w:pPr>
        <w:pStyle w:val="ListParagraph"/>
        <w:numPr>
          <w:ilvl w:val="0"/>
          <w:numId w:val="2"/>
        </w:numPr>
        <w:spacing w:after="60" w:line="264"/>
      </w:pPr>
      <w:r>
        <w:rPr>
          <w:rFonts w:ascii="Calibri" w:cs="Calibri" w:eastAsia="Calibri" w:hAnsi="Calibri"/>
          <w:color w:val="20242C"/>
          <w:sz w:val="21"/>
          <w:szCs w:val="21"/>
        </w:rPr>
        <w:t xml:space="preserve">PRG-P02 — Hiring (the new hire triggers)</w:t>
      </w:r>
    </w:p>
    <w:p>
      <w:pPr>
        <w:pStyle w:val="ListParagraph"/>
        <w:numPr>
          <w:ilvl w:val="0"/>
          <w:numId w:val="2"/>
        </w:numPr>
        <w:spacing w:after="60" w:line="264"/>
      </w:pPr>
      <w:r>
        <w:rPr>
          <w:rFonts w:ascii="Calibri" w:cs="Calibri" w:eastAsia="Calibri" w:hAnsi="Calibri"/>
          <w:color w:val="20242C"/>
          <w:sz w:val="21"/>
          <w:szCs w:val="21"/>
        </w:rPr>
        <w:t xml:space="preserve">PRSFlo Build Spec — the automated tracker</w:t>
      </w:r>
    </w:p>
    <w:sectPr>
      <w:headerReference w:type="default" r:id="rId7"/>
      <w:footerReference w:type="default" r:id="rId8"/>
      <w:pgSz w:w="12240" w:h="15840" w:orient="portrait"/>
      <w:pgMar w:top="1000" w:right="1440" w:bottom="1000" w:left="1440" w:header="600" w:footer="5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A5F6B"/>
        <w:sz w:val="15"/>
        <w:szCs w:val="15"/>
      </w:rPr>
      <w:t xml:space="preserve">PRG-R04  ·  Rev. 3.0  ·  August 2026  ·  Page </w:t>
    </w:r>
    <w:r>
      <w:rPr>
        <w:rFonts w:ascii="Calibri" w:cs="Calibri" w:eastAsia="Calibri" w:hAnsi="Calibri"/>
        <w:color w:val="5A5F6B"/>
        <w:sz w:val="15"/>
        <w:szCs w:val="15"/>
      </w:rPr>
      <w:fldChar w:fldCharType="begin"/>
      <w:instrText xml:space="preserve">PAGE</w:instrText>
      <w:fldChar w:fldCharType="separate"/>
      <w:fldChar w:fldCharType="end"/>
    </w:r>
    <w:r>
      <w:rPr>
        <w:rFonts w:ascii="Calibri" w:cs="Calibri" w:eastAsia="Calibri" w:hAnsi="Calibri"/>
        <w:color w:val="5A5F6B"/>
        <w:sz w:val="15"/>
        <w:szCs w:val="15"/>
      </w:rPr>
      <w:t xml:space="preserve"> of </w:t>
    </w:r>
    <w:r>
      <w:rPr>
        <w:rFonts w:ascii="Calibri" w:cs="Calibri" w:eastAsia="Calibri" w:hAnsi="Calibri"/>
        <w:color w:val="5A5F6B"/>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6CDD6" w:sz="4" w:space="4"/>
      </w:pBdr>
      <w:spacing w:after="0"/>
    </w:pPr>
    <w:r>
      <w:rPr>
        <w:rFonts w:ascii="Calibri" w:cs="Calibri" w:eastAsia="Calibri" w:hAnsi="Calibri"/>
        <w:b/>
        <w:bCs/>
        <w:color w:val="1F3352"/>
        <w:spacing w:val="30"/>
        <w:sz w:val="15"/>
        <w:szCs w:val="15"/>
      </w:rPr>
      <w:t xml:space="preserve">PARAMOUNT RECORDING GROUP</w:t>
    </w:r>
    <w:r>
      <w:rPr>
        <w:rFonts w:ascii="Calibri" w:cs="Calibri" w:eastAsia="Calibri" w:hAnsi="Calibri"/>
        <w:color w:val="5A5F6B"/>
        <w:sz w:val="15"/>
        <w:szCs w:val="15"/>
      </w:rPr>
      <w:t xml:space="preserve">  |  PRG-R04 — Required Training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73"/>
      </w:pPr>
    </w:lvl>
  </w:abstractNum>
  <w:abstractNum w:abstractNumId="3" w15:restartNumberingAfterBreak="0">
    <w:multiLevelType w:val="hybridMultilevel"/>
    <w:lvl w:ilvl="0" w15:tentative="1">
      <w:start w:val="1"/>
      <w:numFmt w:val="bullet"/>
      <w:lvlText w:val="□"/>
      <w:lvlJc w:val="left"/>
      <w:pPr>
        <w:ind w:left="460" w:hanging="302"/>
      </w:pPr>
    </w:lvl>
  </w:abstractNum>
  <w:abstractNum w:abstractNumId="4" w15:restartNumberingAfterBreak="0">
    <w:multiLevelType w:val="hybridMultilevel"/>
    <w:lvl w:ilvl="0" w15:tentative="1">
      <w:start w:val="1"/>
      <w:numFmt w:val="decimal"/>
      <w:lvlText w:val="%1."/>
      <w:lvlJc w:val="left"/>
      <w:pPr>
        <w:ind w:left="460"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2026-08-06T22:17:53.955Z</dcterms:created>
  <dcterms:modified xsi:type="dcterms:W3CDTF">2026-08-06T22:17:53.955Z</dcterms:modified>
</cp:coreProperties>
</file>

<file path=docProps/custom.xml><?xml version="1.0" encoding="utf-8"?>
<Properties xmlns="http://schemas.openxmlformats.org/officeDocument/2006/custom-properties" xmlns:vt="http://schemas.openxmlformats.org/officeDocument/2006/docPropsVTypes"/>
</file>