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Power Distribution</w:t>
      </w:r>
    </w:p>
    <w:p>
      <w:pPr>
        <w:pStyle w:val="Heading2"/>
      </w:pPr>
      <w:r>
        <w:t>3.3V Rail Requirements</w:t>
      </w:r>
    </w:p>
    <w:p>
      <w:r>
        <w:t>The 3.3V rail shall maintain output regulation within +/-2% under full rated load, verified per test procedure TP-114.</w:t>
      </w:r>
    </w:p>
    <w:p>
      <w:pPr>
        <w:pStyle w:val="Heading2"/>
      </w:pPr>
      <w:r>
        <w:t>Rail Sequencing Requirements</w:t>
      </w:r>
    </w:p>
    <w:p>
      <w:r>
        <w:t>Rail sequencing shall enforce 3.3V rising before 1.2V to avoid latch-up on the FPGA power rail.</w:t>
      </w:r>
    </w:p>
    <w:p>
      <w:pPr>
        <w:pStyle w:val="Heading1"/>
      </w:pPr>
      <w:r>
        <w:t>Thermal Management</w:t>
      </w:r>
    </w:p>
    <w:p>
      <w:pPr>
        <w:pStyle w:val="Heading2"/>
      </w:pPr>
      <w:r>
        <w:t>Fan Control</w:t>
      </w:r>
    </w:p>
    <w:p>
      <w:r>
        <w:t>The system shall activate the chassis fan when the internal ambient temperature exceeds 45C, and deactivate it once the temperature falls below 40C.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