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Display</w:t>
      </w:r>
    </w:p>
    <w:p>
      <w:pPr>
        <w:pStyle w:val="Heading2"/>
      </w:pPr>
      <w:r>
        <w:t>Picture Modes</w:t>
      </w:r>
    </w:p>
    <w:p>
      <w:r>
        <w:t>The display shall support at least three picture presets.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Vivid</w:t>
            </w:r>
          </w:p>
        </w:tc>
        <w:tc>
          <w:tcPr>
            <w:tcW w:type="dxa" w:w="4320"/>
          </w:tcPr>
          <w:p>
            <w:r>
              <w:t>High saturation preset</w:t>
            </w:r>
          </w:p>
        </w:tc>
      </w:tr>
    </w:tbl>
    <w:p>
      <w:r>
        <w:t>See the diagram below for panel layout.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