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Display</w:t>
      </w:r>
    </w:p>
    <w:p>
      <w:r>
        <w:t>The display shall support at least three picture presets.</w:t>
      </w:r>
    </w:p>
    <w:p>
      <w:r>
        <w:t>See the first diagram below for panel layout.</w:t>
      </w:r>
    </w:p>
    <w:p>
      <w:r>
        <w:drawing>
          <wp:inline xmlns:a="http://schemas.openxmlformats.org/drawingml/2006/main" xmlns:pic="http://schemas.openxmlformats.org/drawingml/2006/picture">
            <wp:extent cx="127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Remote Control</w:t>
      </w:r>
    </w:p>
    <w:p>
      <w:r>
        <w:t>The remote shall expose a dedicated input-select button.</w:t>
      </w:r>
    </w:p>
    <w:p>
      <w:r>
        <w:t>See the second diagram below for button layout.</w:t>
      </w:r>
    </w:p>
    <w:p>
      <w:r>
        <w:drawing>
          <wp:inline xmlns:a="http://schemas.openxmlformats.org/drawingml/2006/main" xmlns:pic="http://schemas.openxmlformats.org/drawingml/2006/picture">
            <wp:extent cx="1270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b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