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File name did not match KG / Unit pattern</w:t>
        <w:br w:type="textWrapping"/>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p2 - Listen and point. Do the actions.",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point allows students to practise sound–meaning matching. Pointing confirms accurate identification of the words they hear.\nDo the actions checks understanding by asking students to mimic the actions they hear and see."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pointing and joining in with the appropriate actions."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p2 - Listen,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Point and Say checks understanding of word meaning and sound. Listening and pointing show accurate sound–image matching, while saying builds early pronunciation accuracy."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pointing, clear repetition of the target language, correct intonation and recognisable pronunciation of target vocabulary."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p2 - Listen again. Say and do the actions.",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again. Say and do the actions checks understanding of word meaning and sound. Listening reinforces learning of the target vocabulary, while actions reinforce understanding."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repetition of the target language, correct intonation and recognisable pronunciation of initial words, as well as the correct actions."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p32 - Find the difference",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"Find the difference checks recognition of simple action words by comparing two pictures with small changes."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identification of actions (jump up, sit down, clap), correct reference to each picture, and spotting all of the differences."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p32 -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&amp; say reinforces recognition of action words by linking them to a visual prompt. Saying supports accurate sound production and strengthens early letter–word associations."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pointing to actions, and clear pronunciation of target vocabulary."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p32 - Sing the song",</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"Sing the song checks recognition of target vocabulary and their picture associations, promoting early sound awareness while reinforcing meaning through singing."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and confident singing of key words and actions and confident participation."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