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helps students recall the story from the previous lesson and provides a further model of the target language and key structure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develops students’ ability to listen for key details by pointing at the correct image in the story to answer the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people who make mistakes in the story (the clowns)."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developing social-emotional awareness and moral compassion and adding a degree of personalisation to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have said sorry and thinking of ways to fix mistakes."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p61 -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further reinforces the target language and strengthens awareness of where furniture is usually located in a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correct identification and colouring of the items of furniture that are in the wrong place."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an opportunity to practise asking and answering questions about locations in the house, building oral fluency and developing students’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key structure and target vocabulary, appropriate intonation for questions, clear answers, correct pronunciation of the target language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helps improve pronunciation and stress, and reinforces the value discussed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