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p24 -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activates memory and recaps the narrative context. Students recall the events from the first half of the story to prepare for the conclusion."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identifying the characters from the previous lesson and recalling that they were looking for the library."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audio to understand how the community worked together to build the library."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pointing to the actions in the panels (truck arriving, painting,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fosters social-emotional learning. Students identify the helping behaviours in the pictures (carrying boxes, painting) to understand the concept of \"Help others.\""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characters who are helping and simple verbal acknowledgement (e.g., \"He is helping,\" \"Painting\")."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consolidates the unit language through rhythm and melody. Students sing the lyrics related to school rooms and actions to reinforce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keeping the rhythm, and performing the associated actions (mimes for reading, writing, playing)."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p61 -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 link between actions and locations. Students review their work (or complete the task) connecting specific school activities to the correct 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connecting the group reading/writing to the Classroom, the football player to the Playground, and the reader to the Library."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p61 - 2.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controlled practice of the story language. Students point to the images and say the target sentences to reinforce the \"We [action] in the [room]\"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sentence \"We read in the library\" or \"We play in the playground\" while pointing to the correct matched pair."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