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p14 - 1.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provides students with an opportunity to practise the key structures and target language of the unit while testing their recall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key structures and target language, and accurate recall of the main events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p14 - 2.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provides a further model of the target language and key structures from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p14 - 3.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helps raise awareness of the value in the story, developing social-emotional awareness and moral compassion and raising awareness of students' duties and responsibilities towards pets and other animals."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 engagement, with students giving their own suggestions of how they take help care of pets and how they can show respect for animals in the wild."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strengthens students' comprehension of the story by matching the animals to the clothes they end up wearing."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animals and items of clothing, and clear lines between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p61 - 2.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gives students further controlled practice of the target language and helps them progress from saying single words to linking the target language and key structures to make simple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of the target language, correct identification of the target vocabulary and an attempt to talk about it using the key structures e.g. The goat’s wearing a dress."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