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p24 -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the story activates memory and recaps the narrative context. Students recall the events from the first half of the story (the cat stuck in the tree, the vet trying to help) to prepare for the conclusion."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identifying the vet in the tree and recalling that she couldn't get down."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Students listen to the audio to understand how the firefighter rescues the vet and how the waiter helps by providing drinks."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reaction to the arrival of the fire engine and the happy ending."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fosters social-emotional learning. Students discuss the helping behaviours in the pictures (rescuing, bringing drinks) to understand the concept of \"Help others.\""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simple verbal acknowledgement that helping people is good and examples of how characters helped (e.g., \"The firefighter helps the vet\")."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consolidates the story language through rhythm and melody. Students sing the lyrics related to jobs to reinforce fluency."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singing, keeping the rhythm, and performing actions (like climbing or holding a tray)."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p69 - Look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develops social reasoning. Students identify a problem (spilled pencils, fall, can't reach) and draw a line to the corresponding solution (helping tidy, helping up, reaching)."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connections: Spilled pencils -&gt; Boy helping tidy; Fallen boy -&gt; Friends helping up; High book -&gt; Girl helping reach."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p69 - 2. Point and say: How do they help?",</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articulates the value. Students point to the matched pairs and describe the helping action to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simple sentences describing the help, such as \"He helps tidy up\" or \"She helps get the book.\""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