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w:t>
        <w:br w:type="textWrapping"/>
        <w:t xml:space="preserve">  "lessonPlan": [</w:t>
        <w:br w:type="textWrapping"/>
        <w:t xml:space="preserve">    {</w:t>
        <w:br w:type="textWrapping"/>
        <w:t xml:space="preserve">      "topic": "Hello Song &amp; Circle TIme",</w:t>
        <w:br w:type="textWrapping"/>
        <w:t xml:space="preserve">      "timing": "15",</w:t>
        <w:br w:type="textWrapping"/>
        <w:t xml:space="preserve">      "resourceId": null,</w:t>
        <w:br w:type="textWrapping"/>
        <w:t xml:space="preserve">      "data": []</w:t>
        <w:br w:type="textWrapping"/>
        <w:t xml:space="preserve">    },</w:t>
        <w:br w:type="textWrapping"/>
        <w:t xml:space="preserve">    {</w:t>
        <w:br w:type="textWrapping"/>
        <w:t xml:space="preserve">      "topic": "Student Book p41 - Say the chant.",</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"Say the chant develops numeracy and scaffolds the process of helping students to count in tens in English."</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correct production of the numbers along with the chant, correct production unaided and all students being on-task."</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correction.\nHeads Together: \nDemo/Instruct and ask ICQs, including setting behaviour expectations.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"Student Book p41 - Count to 100.",</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"Count to 100 develops numeracy skills and oral production practice of the numbers."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correct counting, correct pronunciation and active engagement."</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correction.\nHeads Together: \nDemo/Instruct and ask ICQs, including setting behaviour expectations.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"Student Book p41 - Play the game.",</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"Play the game provides a ludic context to apply numeracy skills and practise oral production of the numbers."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respectful playing, turn taking, accurate production of the numbers."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correction.\nHeads Together: \nDemo/Instruct and ask ICQs, including setting behaviour expectations.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"Break",</w:t>
        <w:br w:type="textWrapping"/>
        <w:t xml:space="preserve">      "timing": null,</w:t>
        <w:br w:type="textWrapping"/>
        <w:t xml:space="preserve">      "resourceId": null,</w:t>
        <w:br w:type="textWrapping"/>
        <w:t xml:space="preserve">      "data": []</w:t>
        <w:br w:type="textWrapping"/>
        <w:t xml:space="preserve">    },</w:t>
        <w:br w:type="textWrapping"/>
        <w:t xml:space="preserve">    {</w:t>
        <w:br w:type="textWrapping"/>
        <w:t xml:space="preserve">      "topic": "Activity Book p82 - Fill in numbers from 1 to 50 and play bingo.",</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"The two bingo games provide a ludic context for practising and applying oral comprehension of the numbers, first 1 to 50 and then 50 to 100."</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active listening and all students being engaged and on-task."</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"Activity Book p82 - Fill in numbers from 50 to 100 and play bingo.",</w:t>
        <w:br w:type="textWrapping"/>
        <w:t xml:space="preserve">      "timing": null,</w:t>
        <w:br w:type="textWrapping"/>
        <w:t xml:space="preserve">      "resourceId": null,</w:t>
        <w:br w:type="textWrapping"/>
        <w:t xml:space="preserve">      "data":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"Numbers Book p115 - Write the missing numbers.",</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"Write the missing numbers practises numeracy skills and written production of the numerals."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correct answers, neat handwriting."</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"Numbers Book p115 - Count.",</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"Count practises numeracy skills and oral production of the numbers."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correct counting and pronunciation, all students being engaged and on-task."</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"Numbers Book p116 - Choose and write numbers in picture A. Don’t show your friend!",</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"This game practises numeracy and oral production of the numbers in a ludic way."</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correct production of the numbers, correct answers, turn taking, all students being actively engaged."</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"Numbers Book p116 - Ask your friend and write his/her numbers in picture B.",</w:t>
        <w:br w:type="textWrapping"/>
        <w:t xml:space="preserve">      "timing": null,</w:t>
        <w:br w:type="textWrapping"/>
        <w:t xml:space="preserve">      "resourceId": null,</w:t>
        <w:br w:type="textWrapping"/>
        <w:t xml:space="preserve">      "data": []</w:t>
        <w:br w:type="textWrapping"/>
        <w:t xml:space="preserve">    },</w:t>
        <w:br w:type="textWrapping"/>
        <w:t xml:space="preserve">    {</w:t>
        <w:br w:type="textWrapping"/>
        <w:t xml:space="preserve">      "topic": "Return to scene &amp; goodbye",</w:t>
        <w:br w:type="textWrapping"/>
        <w:t xml:space="preserve">      "timing": "8",</w:t>
        <w:br w:type="textWrapping"/>
        <w:t xml:space="preserve">      "resourceId": null,</w:t>
        <w:br w:type="textWrapping"/>
        <w:t xml:space="preserve">      "data": []</w:t>
        <w:br w:type="textWrapping"/>
        <w:t xml:space="preserve">    }</w:t>
        <w:br w:type="textWrapping"/>
        <w:t xml:space="preserve">  ]</w:t>
        <w:br w:type="textWrapping"/>
        <w:t xml:space="preserve">}</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