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understanding of word meaning and sound and raises awareness of the connection between the toys and where they can be found."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 (on top of the same image in the picture dictionary strip)."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Point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match gives students controlled practice identifying the target language and showing their understanding of the questions What is this? and Where’s the…?"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the  items in the picture dictionary strips to the same items in the main scene and accurate pointing to the various toys."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p45 - Help the teddy bear to find the ball. Draw a line through the maze.",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 line through the maze gives students the opportunity to use their creative and fine motor skills whilst reviewing target language in a visual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participation, students mapping a clear path through the maze to reach the ball and a good pencil grip."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p45 -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gives students controlled practice identifying the target language and practising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toys shown, accurate pointing, and correct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p45 - Colour the ball",</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the ball adds an element of personalisation to the task and helps students develop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and careful colouring that is mostly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Say the chant and point to the toys",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confident participation, with most students able to join in with at least the most repeated parts of the chant and some of the TPR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p19-20 - Lesson 1 Vocab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p19-20 - Lesson 1 CPT Games",</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