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p23-24 -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of the target language and helps them progress from saying single words to linking the target language and key structures to make simple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language and correct identification of the target vocabulary (what’s this? Big / small).."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structures from the unit in context, including correct pronunciation and stress, and develops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students following the story by looking at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uses TPR to strengthen word-sound recognition, and listening for key details skills by asking students to do the action when they hear specific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actions when the target word is heard, appropriate actions for each frame in the story,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p49 - Give the children their toys.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"Give the children their toys allows students to be creative within a clear context. Cut allows students to practise their fine motor skills. Stick also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an appropriate amount of glue used and the ability to direct the glue where intended, as well as each pictured child being ‘given’ toys in line with the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p49 - 2. Draw smiles",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smiles provides the opportunity to further practise the target language in a more engaging and creative way and helps students develop empathy."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placing of smiles in the appropriate place on each face and recognisable drawing of those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the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p23-24 - 5. Values: Discuss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"Values: Discuss the story helps raise awareness of the value or meaning in the story: taking care of your toys while you’re having fun, being a good friend and being kind to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how they look after their own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