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p17 - Listen, repeat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repeat and count exposes students to the numbers 1-6, models correct pronunciation,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pronunciation, and confident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count strengthens retention of the target language, using TPR to aid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pronunciation, the correct number of claps for the number heard, most students participating,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p17 - 3. Count, trace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trace and match reviews counting and the numbers 1-6 while reviewing the target language of the unit. It helps students practise counting and strengthens number-sound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parts of the face, accurate counting of them, correct identification of the numbers, and neat lines to connect the parts of the face to the number of them that appear on the monster."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p64 - Look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checks understanding of the target word meaning and sound. It demonstrates students’ ability to identify the parts of the face and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parts of the face and numbers, accurate pronunciation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p64 - 2. Draw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count reinforces the target language and connection between the written numbers 1-6 and visual representations of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the correct number of parts of the face drawn on the monster according to the numbers written next to them, and careful drawing, with the parts of the face drawn clearly identifiable."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p17 - 4.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provides students with further controlled practice of the target language and numbers 1-6."</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target words in the pictures, correct pronunciation and accurate use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p18 - 1. Listen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draw reviews the key language from the unit and helps students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identification of which part of the face to draw, and the correct number of that part of the face drawn."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p18 - 2. Colour your monster.",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your monster gives students an opportunity to practice their fine motor skills and helps prepare them for slightly freer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mostly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p18 - 3.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reviews the colours, further reviews the target vocabulary from the unit, and helps students practise giving simple pictures descriptions and presenting their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parts of the face the monsters have got, correct identification of the colours used, accurate pronunciation of the target language,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