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p12 -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introduces the key language for the lesson, checks understanding of word meaning and sound, and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p12 - 3. Play the game.",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"Play the game provides the opportunity to further use the target structure in a more engaging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the target language, students jumping in/out of the circle at the correct moments, and most of the students participating (jumping, even if they are not confident calling out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p60 - 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"Tick reviews the key words and structures from the lesson. Students look for specific details in the images (if they are inside or outside activities) to choose which box to tick."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all four pictures, and accurate ticking of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p60 -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checks understanding of the target word meaning and sound, and provides further controlled practice using the target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at the target words in the pictures, clear sounds, and correct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and confident participation, with most students able to join in with at least the most repeated parts of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p95 - 1. Draw and make 10.",</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and make 10 reinforces the numbers 1-10, provides controlled practice of number bonds to ten, and develops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pencil grip, accurate counting, the correct number of items drawn to make ten, and neat number formation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p96 - 1 &amp; 2. Make 10.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10. Colour reinforces the numbers 1-10, provides controlled practice of number bonds to ten, and develops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pencil grip, accurate counting, red circles increasing by one each time and blue circles decreasing by one each time, careful colouring of the circles that is mostly in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