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p13 - 1.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p13 - 2.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models the target language and key structures from the unit in context, models correct pronunciation and stress, and develops listening comprehension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identification of the speech bubbles."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p13 - 3. Act out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out the story uses TPR to strengthen word-sound recognition, and listening for key details skills by asking students to raise their flashcards when they hear specific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raising of the flashcards when the target word is heard, appropriate actions for each frame in the story,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helps students recall the story from the previous lesson and provides a further model of the target language and key structure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develops students’ ability to listen for key details by pointing at the correct image in the story to answer the question."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 to the people who make mistakes in the story (the clowns)."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p14 - 3.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developing social-emotional awareness and moral compassion and adding a degree of personalisation to the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 of times they have said sorry and thinking of ways to fix mistakes."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Look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colour further reinforces the target language and strengthens awareness of where furniture is usually located in a home."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and correct identification and colouring of the items of furniture that are in the wrong place."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p61 - 2.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an opportunity to practise asking and answering questions about locations in the house, building oral fluency and developing students’ ability to work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key structure and target vocabulary, appropriate intonation for questions, clear answers, correct pronunciation of the target language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strengthens retention of the target language, helps improve pronunciation and stress, and reinforces the value discussed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