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p15 - Read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colour reviews colours, numbers and the items of furniture."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target language, careful colouring, and the correct number of items of furniture coloured in the correct colour."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reviews counting and number bonds to ten, helping students develop basic addition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of the numbers, correct counting of the number of items coloured, and correct counting of the number of items needed to make ten."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p15 - 3. Say the chant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and count strengthens retention of the target language, helps improve pronunciation and stress, and improves basic numeracy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pronunciation, most students participating,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p62 - Count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write reviews counting and number bonds to ten, helping students develop basic addition skills and practise writing the numbers 1-10."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numbers, correct identification of the number needed to make ten, and numbers written clearly within the clouds."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p62 - 2.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reinforces basic numeracy skills, helping students to develop confidence when making number bonds to ten."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of the numbers, and correct sentence structure when saying the sums, with most of the students participating actively."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"Numbers Book p97 - 1, 2 &amp; 3 Make 10. Write.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10. Write. Colour further reinforces number bonds to ten in a more engaging way, allows students to practise writing the numbers and gives them a visual reminder of which numbers make ten when added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number formation in the correct order, numbers written within the lines, and careful colouring of the rainbow."</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p98 - 1. Add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and colour further reinforces basic addition skills in a more engaging way, and allows students to practise adding numbers between 1-10."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and the correct colours identified after completing the sums."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Listen and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draw reviews the target language and key structure from the unit and helps students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identification of which item of furniture to draw and which room to draw it in."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p16 - 2 &amp; 3. Draw your house. Compare with a friend. Ask and answer Where is … ?",</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your house gives students freer practice of the target language and key structure in a more personalised and engaging way. It allows students to strengthen oral fluency and apply the target language in a way that is relevant in a real-world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recognisable items of furniture drawn in appropriate rooms, clear pronunciation, stress and intonation when asking and answering questions, accurate use of the target language and key structure,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