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p28 -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introduces students to the structure It’s an/a…, It’s/They’ve got… and reviews the target language from the previous lesson.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 as well as accurate pronunciation,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Complete the sentences. Write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sentence and write gives  students controlled practice of the target language while strengthening their counting skills. Colour allows students to practise colour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spelling, consistent letter formation, and neat handwriting and colouring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p72 -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requires students to carefully cut out animals to use in categorising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safe and careful use of scissors."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"Stick requires students to categorise the animals into two groups, practising counting and the target vocabulary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categorisation, careful and neat placement of images,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target vocabulary and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