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p19 -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to the specific rooms,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Ask and answer with What’s missing?",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develops observation skills and vocabulary recall. Students identify which school room is missing from the sequence or picture to show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quick identification of the missing room, correct vocabulary usage, and active participation in the game."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Place stickers",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"Place stickers reinforces the connection between the spoken word and the visual image through kinesthetic practice. Students listen and place the correct room sticker in the right spot."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selection of the stickers and correct placement on the page matching the audio cues."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p57 - Follow",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"Follow develops fine motor skills and logic. Students trace the tangled lines to connect each character to the correct school room, reinforcing vocabulary recognition."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tracing of the lines from start to finish and correct identification of the room at the end of each path."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p57 - Ask and answer: Where’s ...?",</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provides controlled speaking practice. Students work in pairs to trace the lines again and ask/answer questions about the characters' locations."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of the question \"Where's...?\" and the correct room name (e.g., \"In the library\") based on the visual connections."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Chant consolidates the new vocabulary through rhythm and repetition. It allows students to practise natural intonation and have fun with the new school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participation, clapping to the rhythm, and clear pronunciation of the room names."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Lesson 1 Vocab Review",</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p19 - Lesson 1 CPT Games",</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