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activates vocabulary and prepares students for the story. Students identify the characters and the school rooms in the pictures before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to the specific rooms (classroom, canteen, music room) and simple naming of the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develops narrative comprehension and speaking confidence. Students follow the story audio and then role-play the dialogue to practise the target sentence \"We've got 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enjoyment of the story humour (the cat), and confident participation in the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Read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checks understanding of the vocabulary and grammar. Students read the sentence stems and select the correct image that matches the room description."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correct room pictures based on the \"We've got a...\" prompts."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p58 - Think about your school.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for personalization and creative expression. Students recall the rooms in their own school and draw a simple map or picture to represent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recognizable drawings of different school areas (e.g., playground, classroom) reflecting the student’s actual school environment."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Look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reinforces vocabulary recognition. Students review the icons representing different school rooms and tick the ones that match their drawing or their actual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icons and logical ticking based on their drawing or school reality."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Talk about your school",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your school provides a fluency opportunity. Students present their work to a partner or the class, using the target structure \"We've got...\" to describe their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speaking, correct use of the \"We've got...\" structure, and clear pronunciation of the room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language through rhythm and total physical response. Students chant the target phrases while performing actions to reinforce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room names, and correct actions matching the rhythm."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