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pictures activates prior knowledge and visual literacy. Students describe what they see in the illustrations to predict the story content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known items (school, ball, books) and simple predictions about the setting or characters."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and listening stamina. Students follow the audio while looking at the images to understand the sequence of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tracking the panels with their fingers, and reactions to the key moments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in groups, using the target language (\"This is our school,\" \"We play...\")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delivery of the lines, and appropriate gestures matching the actions (e.g., pretending to write or kick a ball)."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characters from the previous lesson and recalling that they were looking for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community worked together to build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the actions in the panels (truck arriving, painting,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identify the helping behaviours in the pictures (carrying boxes, painting) to understand the concept of \"Help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characters who are helping and simple verbal acknowledgement (e.g., \"He is helping,\" \"Painting\")."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unit language through rhythm and melody. Students sing the lyrics related to school rooms and actions to reinforce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keeping the rhythm, and performing the associated actions (mimes for reading, writing, playing)."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 link between actions and locations. Students review their work (or complete the task) connecting specific school activities to the correct 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the group reading/writing to the Classroom, the football player to the Playground, and the reader to the Library."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controlled practice of the story language. Students point to the images and say the target sentences to reinforce the \"We [action] in the [room]\"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sentence \"We read in the library\" or \"We play in the playground\" while pointing to the correct matched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