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p25 - Listen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count introduces the auditory sequence of numbers 30–40. Students listen to the track and track the numbers to learn the correct pronunciation and order."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tracking of the numbers with a finger and clear choral repetition of \"thirty, thirty-one...\" etc."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Count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write develops place value understanding. Students count the base-10 blocks (towers of ten and single cubes) to determine the total and write the digits."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of the tens towers (10, 20, 30) followed by the ones, and writing the correct number (e.g., 33) on the line."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reinforces the number sequence through rhythm. Students chant the numbers 30–40 to build fluency and memorisation."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and staying in time with the rhythm while saying the difficult \"th\" sound in \"thirty\"."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p62 -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reinforces the formation of multiples of ten. Students trace the large numbers inside the circles (10, 20, 30, 40) to build fine motor control."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tracing inside the lines of the large bubbles for 10, 20, 30, and 40."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p62 - 2. Count &amp;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circle develops counting efficiency. Students count large groups of books to identify the correct total and circle the corresponding number."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systematic counting (crossing out or pointing) and accurate circling of the correct total for each row."</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p91 - 1. Add or take away.",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or take away introduces calculation using visual support. Students use the number line to 'jump' forward (add) or backward (take away) to solve the sums."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use of the number line (using a finger to hop) and writing the correct answers (32, 36, 36, 38)."</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p92 - 1. Add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and colour combines calculation with art. Students solve the addition problems in the picture sections and use the key to choose the correct colour."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answers to the sums (e.g., 30+1 = 31) and selecting the correct colour (e.g., 31 = Blue) to colour the teacher and classroom."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