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p29 -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the specific food items (chicken, fish, pasta, etc.) and clear repetition of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Ask and answer with What's missing?",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with What's missing? develops visual memory and vocabulary recall. Students play a game where they identify which food item has been covered or removed."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quick identification of the missing item and confident production of the correct food word (e.g., \"It's the pizza!\")."</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the connection between the spoken word and the visual image through kinesthetic practice. Students listen and place the correct food sticker in the right spot."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selection of the stickers (pasta, pizza, etc.) and correct placement on the page matching the audio cues."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p65 -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introduces the concept of food origins. Students draw lines connecting the food item (fruit, veg, meat) to where it comes from (tree, garden, farm, sea)."</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logical connections: Fruit to the Tree, Vegetables to the Garden, Chicken to the Farm, Fish to the Sea."</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p65 - Talk about where food comes from.",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where food comes from provides a speaking opportunity to explain the matching activity. Students point to their work and describe the origin of the food."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simple sentences or phrases linking the item to the place (e.g., \"Fish comes from the water/sea\")."</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consolidates the new vocabulary through rhythm and repetition. It allows students to practise natural intonation and have fun with the new food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clapping to the rhythm, and clear pronunciation of the food names."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Lesson 1 Vocab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p29 - Lesson 1 CPT Games",</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