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prior knowledge. Students look at the canteen scene and identify the food and characters to predict what the story is about."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recognition of the \"canteen\" setting and pointing to the food items (chicken, pasta, fish), as well as students making predictions about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dialogue to understand the sequence of events and the importance of saying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reaction to the moment the boy forgets to say \"please\" in the second panel."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canteen scene, practising the question \"What would you like?\" and the polite response \"I'd like...,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speech, use of \"please\" and \"thank you,\" and appropriate gestures (serving food, holding a tray)."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p34 - 1.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activates memory and recaps the narrative context. Students recall the events from the first half of the story (the boy was rude) to prepare for the conclusion."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the rude boy and recalling that he didn't say \"please\" in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understand how the friend helps the boy remember his manners and get his lunch."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pointing to the speech bubbles where the friend whispers \"Say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discuss the importance of being polite (\"Please\" and \"Thank you\") to understand the concept of the lesson value."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verbal acknowledgement that saying \"please\" makes people happy and helps us get what we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the spelling of the target polite words. Students trace the words \"please\" and \"Thank you\" in the speech bubbles to build muscle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letters within the grey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Read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provides controlled practice of the social language. Students read the speech bubbles aloud and act out the interaction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\"I'd like pasta, please\" and \"Thank you,\" with appropriate eye contact or gestures."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