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p13 - 1.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p13 - 2.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models the target language and key structures from the unit in context, models correct pronunciation and stress, and develops listening comprehension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identification of the frames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p13 - 3.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out the story uses movement to reinforce the target language and demonstrate students' understanding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mimes for each frame of the story as it is played, and most of the students engaged and participating in the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p14 - 1. Remember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the story provides students with an opportunity to practise the key structures and target language of the unit while testing their recall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key structures and target language, and accurate recall of the main events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p14 - 2.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provides a further model of the target language and key structures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p14 - 3.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developing social-emotional awareness and moral compassion and raising awareness of students' duties and responsibilities towards pets and other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suggestions of how they take help care of pets and how they can show respect for animals in the wild."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p61 - 1.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strengthens students' comprehension of the story by matching the animals to the clothes they end up wearing."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animals and items of clothing, and clear lines between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p61 - 2.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further controlled practice of the target language and helps them progress from saying single words to linking the target language and key structures to make simple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the target language, correct identification of the target vocabulary and an attempt to talk about it using the key structures e.g. The goat’s wearing a dress."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