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within the new grammar context. Students identify the characters and the jobs in the pictures (firefighter, vet) before listening to the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specific speech bubbles or thought bubbles and naming the jobs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fluency. Students follow the audio story about the girls' parents and then role-play the Q&amp;A structure \"What does your mummy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confident use of the structure \"My [mummy/daddy]'s a [job]\" during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Read and circle. Then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circle and draw consolidates the grammar through reading and personalization. Students read the prompt \"What does your daddy/mummy do?\", circle the correct parent word (if applicable), and draw the job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recognizable drawing of a job (e.g., a stethoscope for a doctor) and circling the correct family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Ask and answer for the girl and boy.",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checks interpretation of visuals. Students look at the thought bubbles (female doctor, male police officer) and practice the third-person structure \"She's a doctor\" / \"He's a police officer.\""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gender pronouns (She vs He) matching the character in the thought bubble."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Ask and answer for your mummy and daddy.",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applies the structure to the student's real life. Students work in pairs to ask about their own parents' professions."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production of the sentence \"My [mummy/daddy] is a [job]\" using the vocabulary learned in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practice of the target structure. Students share their drawings with a partner, asking \"What does he/she do?\" and answering."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job titles and correct use of \"He's a...\" or \"She's a...\" based on their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p20 - 5.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reinforces the grammar pattern through rhythm. Students sing the lyrics asking about family jobs (\"What does your daddy do?\") and answering (\"He's a firefighter\") while doing the respective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staying in time with the music, and clear pronunciation of the questions and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p20 - 6.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flexible language use. Students substitute the jobs in the song with their own parents' jobs (e.g., \"My mummy's a chef\")."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successful substitution of new job words into the melody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