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and visual literacy. Students describe the scene (cat in tree, dog barking) and identify the job characters to predict the plot."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recognition of the \"police officer\" and \"vet\" uniforms and simple predictions about how they will help the cat."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follow the sequence of the rescue and understand the specific dialogue (\"I can help,\" \"I'm a vet\")."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reaction to the vet climbing the tree to save the cat."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characters, using the key phrases \"I'm a [job]\" and \"I can help\"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delivery of the lines, and appropriate actions (e.g., looking up at the tree, climbing)."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activates memory and recaps the narrative context. Students recall the events from the first half of the story (the cat stuck in the tree, the vet trying to help) to prepare for the conclusion."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vet in the tree and recalling that she couldn't get down."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understand how the firefighter rescues the vet and how the waiter helps by providing drinks."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reaction to the arrival of the fire engine and the happy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discuss the helping behaviours in the pictures (rescuing, bringing drinks) to understand the concept of \"Help others.\""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verbal acknowledgement that helping people is good and examples of how characters helped (e.g., \"The firefighter helps the vet\")."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story language through rhythm and melody. Students sing the lyrics related to jobs to reinforce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keeping the rhythm, and performing actions (like climbing or holding a tray)."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develops social reasoning. Students identify a problem (spilled pencils, fall, can't reach) and draw a line to the corresponding solution (helping tidy, helping up, reaching)."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Spilled pencils -&gt; Boy helping tidy; Fallen boy -&gt; Friends helping up; High book -&gt; Girl helping reach."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Point and say: How do they help?",</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articulates the value. Students point to the matched pairs and describe the helping action to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sentences describing the help, such as \"He helps tidy up\" or \"She helps get the 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