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p28 -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activates vocabulary in context. Students identify the toy vehicles (plane, boat, bus, car) in the picture before listening to the dialogue."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toys and naming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develops narrative comprehension and grammar usage. Students follow the audio and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confident use of grammatical structure during the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Draw.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ask allows for personalization. Students draw their actual mode of transport to school in the box and practice the question and answer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a car, bus, bike, or walking (legs) and correct production of \"I go by [transport].\""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p72 - Follow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match develops fine motor skills and logic. Students trace the tangled lines to discover which mode of transport each child uses."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leading to the correct matches: Girl 1 to Taxi, Boy 1 to School Bus, Girl 2 to Car, Boy 2 to Bike."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 Role play as the children: How do you go to school?",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 play applies the grammar to the visual task. Students pretend to be the characters in the maze and answer the question based on the line they traced."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sentence production (e.g., pointing to the first girl and saying \"I go by taxi\")."</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p28 - 4.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consolidates the sentence structure through rhythm. Students chant the target question and answer to internalise the grammar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and clear pronunciation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p28 - 5. Make new verses for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encourages flexible language use. Students substitute different vehicles into the chant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successful substitution of new transport vocabulary into the rhythm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p27-28 -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