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and sets the scene. Students describe the different environments (city vs. countryside) and the transport they see to predict what the children will encounter."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descriptions like \"city,\" \"bus,\" \"trees,\" or \"bike\" and pointing to the characters walking."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first part of the story to understand the repeating pattern \"I walk to school. What can I see?\" and identifying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pointing to trace the story as it progresses."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characters, walking on the spot and mime looking around, then saying \"I can see...\""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delivery of the key phrase \"What can I see?\" and the appropriate waving action to the imaginary bus or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cReward moment\nCheck behaviour expectations and reward with APOS or remind for 4Rsorrection."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checks retention of the first part. Students recall what the first two children saw (bus, bike) before moving to the new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recall of \"bus\" and \"bike\" when prompted."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extends the narrative. Students listen to the conclusion to discover the surprise animal (elephant) and the final sentiment about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reactions to the elephant picture and understanding that the school is important to the boy."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discuss why school is important (seeing friends, learning) as shown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verbal expressions like \"School is fun,\" \"Friends,\" or \"Learning.\""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story language. Students sing the lyrics while performing actions to reinforce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and performing actions (walking, mimicking riding a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checks comprehension of the full narrative. Students draw lines linking the character to the specific item they saw."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1 -&gt; Bus; 2 -&gt; Bike; 3 -&gt; Elephant."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p75 - 2. Tell the story to a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"Tell the story encourages oral retelling. Students use the matched pictures to retell the sequence of events to a partner using the target phrase \"He sees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pairs and saying sentences like \"He sees an elephant\" or \"She sees a friend.\""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p75 - 3.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creative language use. Students substitute different transport or animals into the song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substitution of new vocabulary items while keeping the rhythm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