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p36 -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sets up the context for the story by drawing on visual elements students are familiar with and initiates some oral communication."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to the teacher’s questions, active participation and engagement from all 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Listen to the conversation.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conversation presents the target language in context, reinforced by the pictures, checking students’ ability to recognise the spoken and written forms. Act it out checks understanding of the target language and provides controlled practice of oral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engagement, students being on-task and following the story through correct pointing, then pointing at the correct speech bubbles. For Act it out, look for accurate and confident repetition, active participation, correct pronunciation and accurate intonation."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provides an opportunity for students to personalise the topic and a vehicle for controlled oral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accurate drawing, understanding of the teachers’ questions and answers that reflect this, even if they may lack accuracy of form."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p46 - Cut out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and stick practises students’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and neat cutting and sticking of the pictures on the page."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p46 - Ask and answer about your maps with a friend: Where’s the…?",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provides a purpose for the previous activity, as a vehicle for oral production controlled practice of the target question and answer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correct formation of the question and answer structures, correct identification of the buildings."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and do the actions consolidates the new language through TPR."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correct imitation of the actions, accurate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p36 - 5. Make new verses for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for the song personalises the song and further reinforces meaning by interacting with the song at a deeper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word choices, accurate pronunciation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p35-36 - Lesson 2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