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 It also strengthens first-sound awareness by isolating the target sounds before giving examples of words beginning with those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target words as they are heard."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gives students an opportunity to practise saying the target sounds and saying words that begin with the target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correct stress when repeating the target sounds and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and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letter names and sounds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p61 -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letter-sound recognition.\u000bPoint shows they match the sound to the right target word in the picture. Say provides a further opportunity for students to practise the saying the target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pictures which match the target sounds,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strengthens the identification of the first sounds of words, reinforces sound-letter recognition, and reinforces comprehension of the sounds by linking them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sound-letter recognition and circling of the words that begin with the specified letters, and correct identification of the pictures of the circled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Draw the lines to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the lines to match further strengthens first-sound awareness. It demonstrates early phonics control by linking each sound to the picture that begins with it. It also helps students improve their fine motor skills by drawing the lines to connect the letters and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letter and sound, correct identification of the pictures and correct isolation of their first sound, and neat tracing of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