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p23-24 -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lets students demonstrate the language they have gained so far in the course and practise simple picture description by pointing to and identifying the pets they can see in the frames. It also helps to engage students in the story before they’ve listened."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pets in the frames they point at, clear and accurate pronunciation, with most students participating and able to identify most of the pets in the frames."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p23-24 -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models the target language and key language from the unit, including correct pronunciation and stress, and helps students develop listening comprehension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students following the story by looking at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p23-24 -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uses TPR to strengthen word-sound recognition, and listening for key details skills by asking students to raise their flashcards when they hear specific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actions when the target word is heard, appropriate actions for each frame in the story,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p69 - What did they get?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did they get? Circle checks students’ understanding of the outcome of the story by identifying what the pet the girls got in the end (a fish)."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 of the pet fish and evidence that students understand the story outcome."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p69 - 2. Point and say. What do you like?",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What do you like? checks understanding of pet vocabulary and the meaning and sound of the target language. It also introduces the topic of pet preferences."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pets in the pictures and clear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p23-24 - 4.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p23-24 - 5. Values: Discuss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"Values: Discuss the story helps raise awareness of the value: managing feelings and understanding that plans may change, while highlighting that families make choices together. It also supports appreciation and care for pets."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recognising the characters’ feelings (sad → happy) and sharing simple ideas about choosing a pet."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