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key language for the lesson, checks understanding of word meaning and sound,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p12 - 3. Play the game.",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the game provides the opportunity to further use the target structure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target language, students jumping in/out of the circle at the correct moments, and most of the students participating (jumping, even if they are not confident calling out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"Tick reviews the key words and structures from the lesson. Students look for specific details in the images (if they are inside or outside activities) to choose which box to tick."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all four pictures, and accurate ticking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the target word meaning and sound, and provides further controlled practice using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target words in the pictures, clear sounds,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