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and prepares students for the story. Students identify the characters and the school rooms in the pictures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to the specific rooms (classroom, canteen, music room) and simple naming of the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speaking confidence. Students follow the story audio and then role-play the dialogue to practise the target sentence \"We've got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enjoyment of the story humour (the cat), and confident participation in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Read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checks understanding of the vocabulary and grammar. Students read the sentence stems and select the correct image that matches the room description."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correct room pictures based on the \"We've got a...\"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Think about your school.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for personalization and creative expression. Students recall the rooms in their own school and draw a simple map or picture to represent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different school areas (e.g., playground, classroom) reflecting the student’s actual school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Look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reinforces vocabulary recognition. Students review the icons representing different school rooms and tick the ones that match their drawing or their actual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icons and logical ticking based on their drawing or school reality."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Talk about your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your school provides a fluency opportunity. Students present their work to a partner or the class, using the target structure \"We've got...\" to describe their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speaking, correct use of the \"We've got...\" structure, and clear pronunciation of the room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language through rhythm and total physical response. Students chant the target phrases while performing actions to reinforce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room names, and correct actions matching the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